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32"/>
          <w:szCs w:val="32"/>
          <w:lang w:val="en-US" w:eastAsia="zh-CN"/>
        </w:rPr>
        <w:t>连州市</w:t>
      </w:r>
      <w:r>
        <w:rPr>
          <w:rFonts w:hint="eastAsia" w:eastAsia="方正小标宋简体"/>
          <w:color w:val="000000"/>
          <w:sz w:val="32"/>
          <w:szCs w:val="32"/>
          <w:lang w:eastAsia="zh-CN"/>
        </w:rPr>
        <w:t>电动自行车</w:t>
      </w:r>
      <w:r>
        <w:rPr>
          <w:rFonts w:hint="eastAsia" w:eastAsia="方正小标宋简体"/>
          <w:color w:val="000000"/>
          <w:sz w:val="32"/>
          <w:szCs w:val="32"/>
        </w:rPr>
        <w:t>头盔</w:t>
      </w:r>
      <w:r>
        <w:rPr>
          <w:rFonts w:hint="eastAsia" w:ascii="Times New Roman" w:hAnsi="Times New Roman" w:eastAsia="方正小标宋简体" w:cs="Times New Roman"/>
          <w:sz w:val="32"/>
          <w:szCs w:val="32"/>
        </w:rPr>
        <w:t>产品质量监督抽查实施细则</w:t>
      </w:r>
    </w:p>
    <w:p>
      <w:pPr>
        <w:pageBreakBefore w:val="0"/>
        <w:kinsoku/>
        <w:wordWrap/>
        <w:overflowPunct/>
        <w:topLinePunct w:val="0"/>
        <w:bidi w:val="0"/>
        <w:adjustRightInd/>
        <w:snapToGrid/>
        <w:spacing w:line="560" w:lineRule="exact"/>
        <w:ind w:firstLine="420" w:firstLineChars="200"/>
        <w:rPr>
          <w:rFonts w:hint="default" w:ascii="Times New Roman" w:hAnsi="Times New Roman" w:eastAsia="黑体" w:cs="Times New Roman"/>
          <w:color w:val="000000"/>
          <w:sz w:val="21"/>
          <w:szCs w:val="21"/>
          <w:lang w:eastAsia="zh-CN"/>
        </w:rPr>
      </w:pPr>
    </w:p>
    <w:p>
      <w:pPr>
        <w:pageBreakBefore w:val="0"/>
        <w:kinsoku/>
        <w:wordWrap/>
        <w:overflowPunct/>
        <w:topLinePunct w:val="0"/>
        <w:bidi w:val="0"/>
        <w:adjustRightInd/>
        <w:snapToGrid/>
        <w:spacing w:line="560" w:lineRule="exact"/>
        <w:ind w:firstLine="420" w:firstLineChars="200"/>
        <w:rPr>
          <w:rFonts w:hint="default" w:ascii="Times New Roman" w:hAnsi="Times New Roman" w:eastAsia="仿宋_GB2312" w:cs="Times New Roman"/>
          <w:color w:val="000000"/>
          <w:sz w:val="21"/>
          <w:szCs w:val="21"/>
          <w:lang w:eastAsia="zh-CN"/>
        </w:rPr>
      </w:pPr>
      <w:r>
        <w:rPr>
          <w:rFonts w:hint="default" w:ascii="Times New Roman" w:hAnsi="Times New Roman" w:eastAsia="黑体" w:cs="Times New Roman"/>
          <w:color w:val="000000"/>
          <w:sz w:val="21"/>
          <w:szCs w:val="21"/>
          <w:lang w:eastAsia="zh-CN"/>
        </w:rPr>
        <w:t>1 抽样方法</w:t>
      </w:r>
    </w:p>
    <w:p>
      <w:pPr>
        <w:widowControl/>
        <w:spacing w:line="440" w:lineRule="exact"/>
        <w:ind w:firstLine="420" w:firstLineChars="200"/>
        <w:rPr>
          <w:rFonts w:hint="default" w:ascii="宋体" w:hAnsi="宋体" w:eastAsia="宋体" w:cs="Times New Roman"/>
          <w:sz w:val="21"/>
          <w:szCs w:val="21"/>
        </w:rPr>
      </w:pPr>
      <w:r>
        <w:rPr>
          <w:rFonts w:hint="default" w:ascii="宋体" w:hAnsi="宋体" w:eastAsia="宋体" w:cs="Times New Roman"/>
          <w:sz w:val="21"/>
          <w:szCs w:val="21"/>
        </w:rPr>
        <w:t>以随机抽样的方式在被抽样生产者、销售者的待销产品中抽取。</w:t>
      </w:r>
    </w:p>
    <w:p>
      <w:pPr>
        <w:widowControl/>
        <w:spacing w:line="440" w:lineRule="exact"/>
        <w:ind w:firstLine="420" w:firstLineChars="200"/>
        <w:rPr>
          <w:rFonts w:hint="default" w:ascii="宋体" w:hAnsi="宋体" w:eastAsia="宋体" w:cs="Times New Roman"/>
          <w:sz w:val="21"/>
          <w:szCs w:val="21"/>
        </w:rPr>
      </w:pPr>
      <w:r>
        <w:rPr>
          <w:rFonts w:hint="default" w:ascii="宋体" w:hAnsi="宋体" w:eastAsia="宋体" w:cs="Times New Roman"/>
          <w:sz w:val="21"/>
          <w:szCs w:val="21"/>
        </w:rPr>
        <w:t>随机数一般可使用随机数表等方法产生。</w:t>
      </w:r>
    </w:p>
    <w:p>
      <w:pPr>
        <w:widowControl/>
        <w:spacing w:line="440" w:lineRule="exact"/>
        <w:ind w:firstLine="420" w:firstLineChars="200"/>
        <w:rPr>
          <w:rFonts w:hint="default" w:ascii="宋体" w:hAnsi="宋体" w:eastAsia="宋体" w:cs="Times New Roman"/>
          <w:sz w:val="21"/>
          <w:szCs w:val="21"/>
        </w:rPr>
      </w:pPr>
      <w:r>
        <w:rPr>
          <w:rFonts w:hint="default" w:ascii="宋体" w:hAnsi="宋体" w:eastAsia="宋体" w:cs="Times New Roman"/>
          <w:sz w:val="21"/>
          <w:szCs w:val="21"/>
        </w:rPr>
        <w:t>每一抽检批次产品抽取样品4顶，其中2顶作为检验样品，2顶作为备用样品。</w:t>
      </w:r>
    </w:p>
    <w:p>
      <w:pPr>
        <w:pageBreakBefore w:val="0"/>
        <w:kinsoku/>
        <w:wordWrap/>
        <w:overflowPunct/>
        <w:topLinePunct w:val="0"/>
        <w:bidi w:val="0"/>
        <w:adjustRightInd/>
        <w:snapToGrid/>
        <w:spacing w:line="560" w:lineRule="exact"/>
        <w:ind w:firstLine="420" w:firstLineChars="200"/>
        <w:rPr>
          <w:rFonts w:hint="eastAsia" w:ascii="黑体" w:hAnsi="黑体" w:eastAsia="黑体" w:cs="黑体"/>
          <w:color w:val="000000"/>
          <w:sz w:val="21"/>
          <w:szCs w:val="21"/>
          <w:lang w:eastAsia="zh-CN"/>
        </w:rPr>
      </w:pPr>
      <w:r>
        <w:rPr>
          <w:rFonts w:hint="eastAsia" w:ascii="黑体" w:hAnsi="黑体" w:eastAsia="黑体" w:cs="黑体"/>
          <w:color w:val="000000"/>
          <w:sz w:val="21"/>
          <w:szCs w:val="21"/>
          <w:lang w:eastAsia="zh-CN"/>
        </w:rPr>
        <w:t>2 检验依据</w:t>
      </w:r>
    </w:p>
    <w:tbl>
      <w:tblPr>
        <w:tblStyle w:val="3"/>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2835"/>
        <w:gridCol w:w="4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3544" w:type="dxa"/>
            <w:gridSpan w:val="2"/>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检验项目</w:t>
            </w:r>
          </w:p>
        </w:tc>
        <w:tc>
          <w:tcPr>
            <w:tcW w:w="4536" w:type="dxa"/>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restart"/>
            <w:noWrap w:val="0"/>
            <w:vAlign w:val="center"/>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709" w:type="dxa"/>
            <w:vMerge w:val="restart"/>
            <w:noWrap w:val="0"/>
            <w:vAlign w:val="center"/>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w:t>
            </w:r>
          </w:p>
        </w:tc>
        <w:tc>
          <w:tcPr>
            <w:tcW w:w="2835" w:type="dxa"/>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壳体a</w:t>
            </w:r>
          </w:p>
        </w:tc>
        <w:tc>
          <w:tcPr>
            <w:tcW w:w="4536" w:type="dxa"/>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GB 811</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noWrap w:val="0"/>
            <w:vAlign w:val="center"/>
          </w:tcPr>
          <w:p>
            <w:pPr>
              <w:tabs>
                <w:tab w:val="left" w:pos="420"/>
              </w:tabs>
              <w:jc w:val="center"/>
              <w:rPr>
                <w:rFonts w:hint="default" w:ascii="Times New Roman" w:hAnsi="Times New Roman" w:eastAsia="宋体" w:cs="Times New Roman"/>
                <w:sz w:val="21"/>
                <w:szCs w:val="21"/>
              </w:rPr>
            </w:pPr>
          </w:p>
        </w:tc>
        <w:tc>
          <w:tcPr>
            <w:tcW w:w="709" w:type="dxa"/>
            <w:vMerge w:val="continue"/>
            <w:noWrap w:val="0"/>
            <w:vAlign w:val="center"/>
          </w:tcPr>
          <w:p>
            <w:pPr>
              <w:tabs>
                <w:tab w:val="left" w:pos="420"/>
              </w:tabs>
              <w:jc w:val="center"/>
              <w:rPr>
                <w:rFonts w:hint="default" w:ascii="Times New Roman" w:hAnsi="Times New Roman" w:eastAsia="宋体" w:cs="Times New Roman"/>
                <w:sz w:val="21"/>
                <w:szCs w:val="21"/>
              </w:rPr>
            </w:pPr>
          </w:p>
        </w:tc>
        <w:tc>
          <w:tcPr>
            <w:tcW w:w="2835" w:type="dxa"/>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缓冲层b</w:t>
            </w:r>
          </w:p>
        </w:tc>
        <w:tc>
          <w:tcPr>
            <w:tcW w:w="4536" w:type="dxa"/>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GB 811</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noWrap w:val="0"/>
            <w:vAlign w:val="top"/>
          </w:tcPr>
          <w:p>
            <w:pPr>
              <w:tabs>
                <w:tab w:val="left" w:pos="420"/>
              </w:tabs>
              <w:jc w:val="center"/>
              <w:rPr>
                <w:rFonts w:hint="default" w:ascii="Times New Roman" w:hAnsi="Times New Roman" w:eastAsia="宋体" w:cs="Times New Roman"/>
                <w:sz w:val="21"/>
                <w:szCs w:val="21"/>
              </w:rPr>
            </w:pPr>
          </w:p>
        </w:tc>
        <w:tc>
          <w:tcPr>
            <w:tcW w:w="709" w:type="dxa"/>
            <w:vMerge w:val="continue"/>
            <w:noWrap w:val="0"/>
            <w:vAlign w:val="top"/>
          </w:tcPr>
          <w:p>
            <w:pPr>
              <w:tabs>
                <w:tab w:val="left" w:pos="420"/>
              </w:tabs>
              <w:jc w:val="center"/>
              <w:rPr>
                <w:rFonts w:hint="default" w:ascii="Times New Roman" w:hAnsi="Times New Roman" w:eastAsia="宋体" w:cs="Times New Roman"/>
                <w:sz w:val="21"/>
                <w:szCs w:val="21"/>
              </w:rPr>
            </w:pPr>
          </w:p>
        </w:tc>
        <w:tc>
          <w:tcPr>
            <w:tcW w:w="2835" w:type="dxa"/>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佩戴装置</w:t>
            </w:r>
          </w:p>
        </w:tc>
        <w:tc>
          <w:tcPr>
            <w:tcW w:w="4536" w:type="dxa"/>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GB 811</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p>
        </w:tc>
        <w:tc>
          <w:tcPr>
            <w:tcW w:w="3544" w:type="dxa"/>
            <w:gridSpan w:val="2"/>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视野</w:t>
            </w:r>
          </w:p>
        </w:tc>
        <w:tc>
          <w:tcPr>
            <w:tcW w:w="4536" w:type="dxa"/>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GB 811</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p>
        </w:tc>
        <w:tc>
          <w:tcPr>
            <w:tcW w:w="3544" w:type="dxa"/>
            <w:gridSpan w:val="2"/>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护目镜</w:t>
            </w:r>
          </w:p>
        </w:tc>
        <w:tc>
          <w:tcPr>
            <w:tcW w:w="4536" w:type="dxa"/>
            <w:noWrap w:val="0"/>
            <w:vAlign w:val="top"/>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GB 811</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w:t>
            </w:r>
          </w:p>
        </w:tc>
        <w:tc>
          <w:tcPr>
            <w:tcW w:w="3544" w:type="dxa"/>
            <w:gridSpan w:val="2"/>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表面摩擦力</w:t>
            </w:r>
          </w:p>
        </w:tc>
        <w:tc>
          <w:tcPr>
            <w:tcW w:w="4536" w:type="dxa"/>
            <w:noWrap w:val="0"/>
            <w:vAlign w:val="top"/>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GB 811</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w:t>
            </w:r>
          </w:p>
        </w:tc>
        <w:tc>
          <w:tcPr>
            <w:tcW w:w="3544" w:type="dxa"/>
            <w:gridSpan w:val="2"/>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固定装置稳定性</w:t>
            </w:r>
          </w:p>
        </w:tc>
        <w:tc>
          <w:tcPr>
            <w:tcW w:w="4536" w:type="dxa"/>
            <w:noWrap w:val="0"/>
            <w:vAlign w:val="top"/>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GB 811</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w:t>
            </w:r>
          </w:p>
        </w:tc>
        <w:tc>
          <w:tcPr>
            <w:tcW w:w="3544" w:type="dxa"/>
            <w:gridSpan w:val="2"/>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佩戴装置强度</w:t>
            </w:r>
          </w:p>
        </w:tc>
        <w:tc>
          <w:tcPr>
            <w:tcW w:w="4536" w:type="dxa"/>
            <w:noWrap w:val="0"/>
            <w:vAlign w:val="top"/>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GB 811</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w:t>
            </w:r>
          </w:p>
        </w:tc>
        <w:tc>
          <w:tcPr>
            <w:tcW w:w="3544" w:type="dxa"/>
            <w:gridSpan w:val="2"/>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吸收碰撞能量c</w:t>
            </w:r>
          </w:p>
        </w:tc>
        <w:tc>
          <w:tcPr>
            <w:tcW w:w="4536" w:type="dxa"/>
            <w:noWrap w:val="0"/>
            <w:vAlign w:val="top"/>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GB 811</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w:t>
            </w:r>
          </w:p>
        </w:tc>
        <w:tc>
          <w:tcPr>
            <w:tcW w:w="3544" w:type="dxa"/>
            <w:gridSpan w:val="2"/>
            <w:noWrap w:val="0"/>
            <w:vAlign w:val="top"/>
          </w:tcPr>
          <w:p>
            <w:pPr>
              <w:tabs>
                <w:tab w:val="left" w:pos="420"/>
              </w:tab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耐穿透c</w:t>
            </w:r>
          </w:p>
        </w:tc>
        <w:tc>
          <w:tcPr>
            <w:tcW w:w="4536" w:type="dxa"/>
            <w:noWrap w:val="0"/>
            <w:vAlign w:val="top"/>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GB 811</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9" w:type="dxa"/>
            <w:gridSpan w:val="4"/>
            <w:noWrap w:val="0"/>
            <w:vAlign w:val="top"/>
          </w:tcPr>
          <w:p>
            <w:pPr>
              <w:tabs>
                <w:tab w:val="left" w:pos="420"/>
              </w:tabs>
              <w:jc w:val="left"/>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注：</w:t>
            </w:r>
          </w:p>
          <w:p>
            <w:pPr>
              <w:tabs>
                <w:tab w:val="left" w:pos="420"/>
              </w:tabs>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a 壳体不测5.1.2.2.b），5.1.2.2.d）反光材料只测总面积和左、右、后三个方向可见；</w:t>
            </w:r>
          </w:p>
          <w:p>
            <w:pPr>
              <w:tabs>
                <w:tab w:val="left" w:pos="420"/>
              </w:tabs>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b 缓冲层只测5.1.3 b）；</w:t>
            </w:r>
          </w:p>
          <w:p>
            <w:pPr>
              <w:tabs>
                <w:tab w:val="left" w:pos="420"/>
              </w:tabs>
              <w:jc w:val="left"/>
              <w:rPr>
                <w:rFonts w:hint="eastAsia" w:ascii="Times New Roman" w:hAnsi="Times New Roman" w:eastAsia="宋体" w:cs="Times New Roman"/>
                <w:sz w:val="21"/>
                <w:szCs w:val="21"/>
              </w:rPr>
            </w:pPr>
            <w:r>
              <w:rPr>
                <w:rFonts w:hint="default" w:ascii="Times New Roman" w:hAnsi="Times New Roman" w:eastAsia="宋体" w:cs="Times New Roman"/>
                <w:sz w:val="21"/>
                <w:szCs w:val="21"/>
              </w:rPr>
              <w:t>c 环境前处理采用低温。</w:t>
            </w:r>
          </w:p>
        </w:tc>
      </w:tr>
    </w:tbl>
    <w:p>
      <w:pPr>
        <w:pageBreakBefore w:val="0"/>
        <w:kinsoku/>
        <w:wordWrap/>
        <w:overflowPunct/>
        <w:topLinePunct w:val="0"/>
        <w:bidi w:val="0"/>
        <w:adjustRightInd/>
        <w:snapToGrid/>
        <w:spacing w:line="560" w:lineRule="exact"/>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执行企业标准、团体标准、地方标准的产品，检验项目参照上述内容执行。</w:t>
      </w:r>
    </w:p>
    <w:p>
      <w:pPr>
        <w:pageBreakBefore w:val="0"/>
        <w:kinsoku/>
        <w:wordWrap/>
        <w:overflowPunct/>
        <w:topLinePunct w:val="0"/>
        <w:bidi w:val="0"/>
        <w:adjustRightInd/>
        <w:snapToGrid/>
        <w:spacing w:line="560" w:lineRule="exact"/>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凡是注日期的文件，其随后所有的修改单（不包括勘误的内容）或修订版不适用于本细则。凡是不注日期的文件，其最新版本适用于本细则。</w:t>
      </w:r>
    </w:p>
    <w:p>
      <w:pPr>
        <w:pageBreakBefore w:val="0"/>
        <w:kinsoku/>
        <w:wordWrap/>
        <w:overflowPunct/>
        <w:topLinePunct w:val="0"/>
        <w:bidi w:val="0"/>
        <w:adjustRightInd/>
        <w:snapToGrid/>
        <w:spacing w:line="560" w:lineRule="exact"/>
        <w:ind w:firstLine="420" w:firstLineChars="200"/>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3 判定规则</w:t>
      </w:r>
    </w:p>
    <w:p>
      <w:pPr>
        <w:pageBreakBefore w:val="0"/>
        <w:kinsoku/>
        <w:wordWrap/>
        <w:overflowPunct/>
        <w:topLinePunct w:val="0"/>
        <w:bidi w:val="0"/>
        <w:adjustRightInd/>
        <w:snapToGrid/>
        <w:spacing w:line="560" w:lineRule="exact"/>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3.1依据标准</w:t>
      </w:r>
    </w:p>
    <w:p>
      <w:pPr>
        <w:pageBreakBefore w:val="0"/>
        <w:kinsoku/>
        <w:wordWrap/>
        <w:overflowPunct/>
        <w:topLinePunct w:val="0"/>
        <w:bidi w:val="0"/>
        <w:adjustRightInd/>
        <w:snapToGrid/>
        <w:spacing w:line="560" w:lineRule="exact"/>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GB 811</w:t>
      </w:r>
      <w:r>
        <w:rPr>
          <w:rFonts w:hint="default" w:ascii="Times New Roman" w:hAnsi="Times New Roman" w:eastAsia="宋体" w:cs="Times New Roman"/>
          <w:color w:val="000000"/>
          <w:sz w:val="21"/>
          <w:szCs w:val="21"/>
          <w:lang w:val="en-US" w:eastAsia="zh-CN"/>
        </w:rPr>
        <w:t>-</w:t>
      </w:r>
      <w:r>
        <w:rPr>
          <w:rFonts w:hint="default" w:ascii="Times New Roman" w:hAnsi="Times New Roman" w:eastAsia="宋体" w:cs="Times New Roman"/>
          <w:color w:val="000000"/>
          <w:sz w:val="21"/>
          <w:szCs w:val="21"/>
        </w:rPr>
        <w:t>2022 摩托车、电动自行车乘员头盔</w:t>
      </w:r>
    </w:p>
    <w:p>
      <w:pPr>
        <w:pageBreakBefore w:val="0"/>
        <w:kinsoku/>
        <w:wordWrap/>
        <w:overflowPunct/>
        <w:topLinePunct w:val="0"/>
        <w:bidi w:val="0"/>
        <w:adjustRightInd/>
        <w:snapToGrid/>
        <w:spacing w:line="560" w:lineRule="exact"/>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现行有效的企业标准、团体标准、地方标准及产品明示质量要求</w:t>
      </w:r>
    </w:p>
    <w:p>
      <w:pPr>
        <w:pageBreakBefore w:val="0"/>
        <w:kinsoku/>
        <w:wordWrap/>
        <w:overflowPunct/>
        <w:topLinePunct w:val="0"/>
        <w:bidi w:val="0"/>
        <w:adjustRightInd/>
        <w:snapToGrid/>
        <w:spacing w:line="560" w:lineRule="exact"/>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3.2判定原则</w:t>
      </w:r>
    </w:p>
    <w:p>
      <w:pPr>
        <w:pageBreakBefore w:val="0"/>
        <w:kinsoku/>
        <w:wordWrap/>
        <w:overflowPunct/>
        <w:topLinePunct w:val="0"/>
        <w:bidi w:val="0"/>
        <w:adjustRightInd/>
        <w:snapToGrid/>
        <w:spacing w:line="560" w:lineRule="exact"/>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经检验，检验项</w:t>
      </w:r>
      <w:bookmarkStart w:id="0" w:name="_GoBack"/>
      <w:bookmarkEnd w:id="0"/>
      <w:r>
        <w:rPr>
          <w:rFonts w:hint="default" w:ascii="Times New Roman" w:hAnsi="Times New Roman" w:eastAsia="宋体" w:cs="Times New Roman"/>
          <w:color w:val="000000"/>
          <w:sz w:val="21"/>
          <w:szCs w:val="21"/>
        </w:rPr>
        <w:t>目全部合格，判定为被抽查产品所检项目未发现不合格；检验项目中任一项或一项以上不合格，判定为被抽查产品不合格。</w:t>
      </w:r>
    </w:p>
    <w:p>
      <w:pPr>
        <w:pageBreakBefore w:val="0"/>
        <w:kinsoku/>
        <w:wordWrap/>
        <w:overflowPunct/>
        <w:topLinePunct w:val="0"/>
        <w:bidi w:val="0"/>
        <w:adjustRightInd/>
        <w:snapToGrid/>
        <w:spacing w:line="560" w:lineRule="exact"/>
        <w:ind w:firstLine="417" w:firstLineChars="19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若被检产品明示的质量要求高于本细则中检验项目依据的标准要求时，应按被检产品明示的质量要求判定。</w:t>
      </w:r>
    </w:p>
    <w:p>
      <w:pPr>
        <w:pageBreakBefore w:val="0"/>
        <w:kinsoku/>
        <w:wordWrap/>
        <w:overflowPunct/>
        <w:topLinePunct w:val="0"/>
        <w:bidi w:val="0"/>
        <w:adjustRightInd/>
        <w:snapToGrid/>
        <w:spacing w:line="560" w:lineRule="exact"/>
        <w:ind w:firstLine="417" w:firstLineChars="19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若被检产品明示的质量要求低于本细则中检验项目依据的强制性标准要求时，应按照强制性标准要求判定。</w:t>
      </w:r>
    </w:p>
    <w:p>
      <w:pPr>
        <w:pageBreakBefore w:val="0"/>
        <w:kinsoku/>
        <w:wordWrap/>
        <w:overflowPunct/>
        <w:topLinePunct w:val="0"/>
        <w:bidi w:val="0"/>
        <w:adjustRightInd/>
        <w:snapToGrid/>
        <w:spacing w:line="560" w:lineRule="exact"/>
        <w:ind w:firstLine="417" w:firstLineChars="19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若被检产品明示的质量要求低于或包含本细则中检验项目依据的推荐性标准要求时，应以被检产品明示的质量要求判定。</w:t>
      </w:r>
    </w:p>
    <w:p>
      <w:pPr>
        <w:pageBreakBefore w:val="0"/>
        <w:kinsoku/>
        <w:wordWrap/>
        <w:overflowPunct/>
        <w:topLinePunct w:val="0"/>
        <w:bidi w:val="0"/>
        <w:adjustRightInd/>
        <w:snapToGrid/>
        <w:spacing w:line="560" w:lineRule="exact"/>
        <w:ind w:firstLine="417" w:firstLineChars="19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若被检产品明示的质量要求缺少本细则中检验项目依据的强制性标准要求时，应按照强制性标准要求判定。</w:t>
      </w:r>
    </w:p>
    <w:p>
      <w:pPr>
        <w:pageBreakBefore w:val="0"/>
        <w:kinsoku/>
        <w:wordWrap/>
        <w:overflowPunct/>
        <w:topLinePunct w:val="0"/>
        <w:bidi w:val="0"/>
        <w:adjustRightInd/>
        <w:snapToGrid/>
        <w:spacing w:line="560" w:lineRule="exact"/>
        <w:ind w:firstLine="417" w:firstLineChars="199"/>
        <w:rPr>
          <w:rFonts w:hint="default" w:ascii="Times New Roman" w:hAnsi="Times New Roman" w:eastAsia="宋体" w:cs="Times New Roman"/>
        </w:rPr>
      </w:pPr>
      <w:r>
        <w:rPr>
          <w:rFonts w:hint="default" w:ascii="Times New Roman" w:hAnsi="Times New Roman" w:eastAsia="宋体" w:cs="Times New Roman"/>
          <w:color w:val="000000"/>
          <w:sz w:val="21"/>
          <w:szCs w:val="21"/>
        </w:rPr>
        <w:t>若被检产品明示的质量要求缺少本细则中检验项目依据的推荐性标准要求时，该项目不参与判定</w:t>
      </w:r>
      <w:r>
        <w:rPr>
          <w:rFonts w:hint="default" w:ascii="Times New Roman" w:hAnsi="Times New Roman" w:eastAsia="宋体" w:cs="Times New Roman"/>
          <w:color w:val="000000"/>
          <w:sz w:val="21"/>
          <w:szCs w:val="21"/>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Malgun Gothic Semilight">
    <w:panose1 w:val="020B0502040204020203"/>
    <w:charset w:val="86"/>
    <w:family w:val="auto"/>
    <w:pitch w:val="default"/>
    <w:sig w:usb0="900002AF" w:usb1="01D77CFB" w:usb2="00000012" w:usb3="00000000" w:csb0="203E01BD" w:csb1="D7FF0000"/>
  </w:font>
  <w:font w:name="Microsoft JhengHei UI Light">
    <w:panose1 w:val="020B0304030504040204"/>
    <w:charset w:val="88"/>
    <w:family w:val="auto"/>
    <w:pitch w:val="default"/>
    <w:sig w:usb0="800002A7" w:usb1="28CF4400" w:usb2="00000016" w:usb3="00000000" w:csb0="00100009" w:csb1="00000000"/>
  </w:font>
  <w:font w:name="PMingLiU-ExtB">
    <w:panose1 w:val="02020500000000000000"/>
    <w:charset w:val="88"/>
    <w:family w:val="auto"/>
    <w:pitch w:val="default"/>
    <w:sig w:usb0="8000002F" w:usb1="02000008" w:usb2="00000000" w:usb3="00000000" w:csb0="00100001" w:csb1="00000000"/>
  </w:font>
  <w:font w:name="Yu Gothic Medium">
    <w:panose1 w:val="020B0500000000000000"/>
    <w:charset w:val="80"/>
    <w:family w:val="auto"/>
    <w:pitch w:val="default"/>
    <w:sig w:usb0="E00002FF" w:usb1="2AC7FDFF" w:usb2="00000016" w:usb3="00000000" w:csb0="2002009F" w:csb1="00000000"/>
  </w:font>
  <w:font w:name="Yu Gothic UI Semilight">
    <w:panose1 w:val="020B0400000000000000"/>
    <w:charset w:val="80"/>
    <w:family w:val="auto"/>
    <w:pitch w:val="default"/>
    <w:sig w:usb0="E00002FF" w:usb1="2AC7FDFF" w:usb2="00000016" w:usb3="00000000" w:csb0="2002009F" w:csb1="00000000"/>
  </w:font>
  <w:font w:name="Arial">
    <w:panose1 w:val="020B0604020202020204"/>
    <w:charset w:val="00"/>
    <w:family w:val="auto"/>
    <w:pitch w:val="default"/>
    <w:sig w:usb0="E0002EFF" w:usb1="C000785B" w:usb2="00000009" w:usb3="00000000" w:csb0="400001FF" w:csb1="FFFF0000"/>
  </w:font>
  <w:font w:name="Bahnschrift Condensed">
    <w:panose1 w:val="020B0502040204020203"/>
    <w:charset w:val="00"/>
    <w:family w:val="auto"/>
    <w:pitch w:val="default"/>
    <w:sig w:usb0="800002C7" w:usb1="00000002" w:usb2="00000000" w:usb3="00000000" w:csb0="2000019F" w:csb1="00000000"/>
  </w:font>
  <w:font w:name="Bahnschrift SemiBold">
    <w:panose1 w:val="020B0502040204020203"/>
    <w:charset w:val="00"/>
    <w:family w:val="auto"/>
    <w:pitch w:val="default"/>
    <w:sig w:usb0="800002C7" w:usb1="00000002" w:usb2="00000000" w:usb3="00000000" w:csb0="2000019F" w:csb1="00000000"/>
  </w:font>
  <w:font w:name="Cambria Math">
    <w:panose1 w:val="02040503050406030204"/>
    <w:charset w:val="00"/>
    <w:family w:val="auto"/>
    <w:pitch w:val="default"/>
    <w:sig w:usb0="E00006FF" w:usb1="420024FF" w:usb2="02000000" w:usb3="00000000" w:csb0="2000019F" w:csb1="00000000"/>
  </w:font>
  <w:font w:name="DejaVu Math TeX Gyre">
    <w:panose1 w:val="02000503000000000000"/>
    <w:charset w:val="00"/>
    <w:family w:val="auto"/>
    <w:pitch w:val="default"/>
    <w:sig w:usb0="A10000EF" w:usb1="4201F9EE" w:usb2="02000000" w:usb3="00000000" w:csb0="60000193" w:csb1="0DD40000"/>
  </w:font>
  <w:font w:name="Gabriola">
    <w:panose1 w:val="04040605051002020D02"/>
    <w:charset w:val="00"/>
    <w:family w:val="auto"/>
    <w:pitch w:val="default"/>
    <w:sig w:usb0="E00002EF" w:usb1="5000204B" w:usb2="00000000" w:usb3="00000000" w:csb0="2000009F" w:csb1="00000000"/>
  </w:font>
  <w:font w:name="Gadugi">
    <w:panose1 w:val="020B0502040204020203"/>
    <w:charset w:val="00"/>
    <w:family w:val="auto"/>
    <w:pitch w:val="default"/>
    <w:sig w:usb0="80000003" w:usb1="02000000" w:usb2="00003000" w:usb3="00000000" w:csb0="00000001" w:csb1="00000000"/>
  </w:font>
  <w:font w:name="Marlett">
    <w:panose1 w:val="00000000000000000000"/>
    <w:charset w:val="00"/>
    <w:family w:val="auto"/>
    <w:pitch w:val="default"/>
    <w:sig w:usb0="00000000" w:usb1="00000000" w:usb2="00000000" w:usb3="00000000" w:csb0="80000000" w:csb1="00000000"/>
  </w:font>
  <w:font w:name="Microsoft Sans Serif">
    <w:panose1 w:val="020B0604020202020204"/>
    <w:charset w:val="00"/>
    <w:family w:val="auto"/>
    <w:pitch w:val="default"/>
    <w:sig w:usb0="E5002EFF" w:usb1="C000605B" w:usb2="00000029" w:usb3="00000000" w:csb0="200101FF" w:csb1="20280000"/>
  </w:font>
  <w:font w:name="MV Boli">
    <w:panose1 w:val="02000500030200090000"/>
    <w:charset w:val="00"/>
    <w:family w:val="auto"/>
    <w:pitch w:val="default"/>
    <w:sig w:usb0="00000003" w:usb1="00000000" w:usb2="00000100" w:usb3="00000000" w:csb0="00000001" w:csb1="00000000"/>
  </w:font>
  <w:font w:name="Symbol">
    <w:panose1 w:val="050501020107060205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742FAF"/>
    <w:rsid w:val="00B831A5"/>
    <w:rsid w:val="06500DE2"/>
    <w:rsid w:val="15E2393B"/>
    <w:rsid w:val="18177A6C"/>
    <w:rsid w:val="1FBB4E9D"/>
    <w:rsid w:val="214723D9"/>
    <w:rsid w:val="24E07331"/>
    <w:rsid w:val="2C11043F"/>
    <w:rsid w:val="31C97F25"/>
    <w:rsid w:val="33C84123"/>
    <w:rsid w:val="40DF6D14"/>
    <w:rsid w:val="41742FAF"/>
    <w:rsid w:val="485D3560"/>
    <w:rsid w:val="57BE2CEA"/>
    <w:rsid w:val="6225043E"/>
    <w:rsid w:val="72065B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2024-10-30T08:53:00Z</dcterms:created>
  <dc:creator>JYJC</dc:creator>
  <cp:lastModifiedBy>chalin</cp:lastModifiedBy>
  <dcterms:modified xsi:type="dcterms:W3CDTF">2026-08-12T08:24:40Z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84DC8241398E4C0DA4A31884395D2AA5</vt:lpwstr>
  </property>
</Properties>
</file>