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40" w:lineRule="exact"/>
        <w:jc w:val="center"/>
        <w:rPr>
          <w:rFonts w:ascii="Times New Roman" w:hAnsi="Times New Roman" w:eastAsia="方正小标宋简体"/>
          <w:color w:val="000000"/>
          <w:sz w:val="32"/>
          <w:szCs w:val="32"/>
        </w:rPr>
      </w:pPr>
      <w:r>
        <w:rPr>
          <w:rFonts w:hint="eastAsia" w:ascii="Times New Roman" w:hAnsi="Times New Roman" w:eastAsia="方正小标宋简体"/>
          <w:color w:val="000000"/>
          <w:sz w:val="32"/>
          <w:szCs w:val="32"/>
          <w:lang w:val="en-US" w:eastAsia="zh-CN"/>
        </w:rPr>
        <w:t>连州市</w:t>
      </w:r>
      <w:r>
        <w:rPr>
          <w:rFonts w:hint="eastAsia" w:ascii="Times New Roman" w:hAnsi="Times New Roman" w:eastAsia="方正小标宋简体"/>
          <w:color w:val="000000"/>
          <w:sz w:val="32"/>
          <w:szCs w:val="32"/>
        </w:rPr>
        <w:t>玩具</w:t>
      </w:r>
      <w:r>
        <w:rPr>
          <w:rFonts w:ascii="Times New Roman" w:hAnsi="Times New Roman" w:eastAsia="方正小标宋简体"/>
          <w:color w:val="000000"/>
          <w:sz w:val="32"/>
          <w:szCs w:val="32"/>
        </w:rPr>
        <w:t>产品质量监督抽查实施细则</w:t>
      </w:r>
    </w:p>
    <w:p>
      <w:pPr>
        <w:snapToGrid w:val="0"/>
        <w:spacing w:line="440" w:lineRule="exact"/>
        <w:rPr>
          <w:rFonts w:ascii="Times New Roman" w:hAnsi="Times New Roman" w:eastAsia="黑体"/>
          <w:color w:val="000000"/>
          <w:szCs w:val="21"/>
        </w:rPr>
      </w:pPr>
    </w:p>
    <w:p>
      <w:pPr>
        <w:snapToGrid w:val="0"/>
        <w:spacing w:line="440" w:lineRule="exact"/>
        <w:rPr>
          <w:rFonts w:ascii="Times New Roman" w:hAnsi="Times New Roman" w:eastAsia="黑体"/>
          <w:color w:val="000000"/>
          <w:szCs w:val="21"/>
        </w:rPr>
      </w:pPr>
      <w:r>
        <w:rPr>
          <w:rFonts w:ascii="Times New Roman" w:hAnsi="Times New Roman" w:eastAsia="黑体"/>
          <w:color w:val="000000"/>
          <w:szCs w:val="21"/>
        </w:rPr>
        <w:t>1 抽样方法</w:t>
      </w:r>
    </w:p>
    <w:p>
      <w:pPr>
        <w:snapToGrid w:val="0"/>
        <w:spacing w:line="440" w:lineRule="exact"/>
        <w:ind w:firstLine="420" w:firstLineChars="200"/>
        <w:rPr>
          <w:rFonts w:ascii="Times New Roman" w:hAnsi="Times New Roman"/>
          <w:color w:val="000000"/>
          <w:szCs w:val="21"/>
        </w:rPr>
      </w:pPr>
      <w:r>
        <w:rPr>
          <w:rFonts w:ascii="Times New Roman" w:hAnsi="Times New Roman"/>
          <w:color w:val="000000"/>
          <w:szCs w:val="21"/>
        </w:rPr>
        <w:t>以随机抽样的方式在被抽样生产者、销售者的待销产品中抽取。</w:t>
      </w:r>
    </w:p>
    <w:p>
      <w:pPr>
        <w:snapToGrid w:val="0"/>
        <w:spacing w:line="440" w:lineRule="exact"/>
        <w:ind w:firstLine="420" w:firstLineChars="200"/>
        <w:rPr>
          <w:rFonts w:ascii="Times New Roman" w:hAnsi="Times New Roman"/>
          <w:color w:val="000000"/>
          <w:szCs w:val="21"/>
        </w:rPr>
      </w:pPr>
      <w:r>
        <w:rPr>
          <w:rFonts w:ascii="Times New Roman" w:hAnsi="Times New Roman"/>
          <w:color w:val="000000"/>
          <w:szCs w:val="21"/>
        </w:rPr>
        <w:t>随机数一般可使用随机数表等方法产生。</w:t>
      </w:r>
    </w:p>
    <w:p>
      <w:pPr>
        <w:snapToGrid w:val="0"/>
        <w:spacing w:line="440" w:lineRule="exact"/>
        <w:ind w:firstLine="420" w:firstLineChars="200"/>
        <w:rPr>
          <w:rFonts w:ascii="Times New Roman" w:hAnsi="Times New Roman" w:eastAsia="黑体"/>
          <w:color w:val="000000"/>
          <w:szCs w:val="21"/>
        </w:rPr>
      </w:pPr>
      <w:r>
        <w:rPr>
          <w:rFonts w:hint="eastAsia" w:ascii="Times New Roman" w:hAnsi="Times New Roman"/>
          <w:color w:val="000000"/>
          <w:szCs w:val="21"/>
        </w:rPr>
        <w:t>按本细则如需检测GB 6675.1—2025，每批次抽样数量5个，其中4个作为检验样品、1个作为备用样品；其它标准每批次抽样数量3个，其中2个作为检验样品、1个作为备用样品。</w:t>
      </w:r>
    </w:p>
    <w:p>
      <w:pPr>
        <w:snapToGrid w:val="0"/>
        <w:spacing w:line="440" w:lineRule="exact"/>
        <w:rPr>
          <w:rFonts w:ascii="Times New Roman" w:hAnsi="Times New Roman" w:eastAsia="黑体"/>
          <w:color w:val="000000"/>
          <w:szCs w:val="21"/>
        </w:rPr>
      </w:pPr>
      <w:bookmarkStart w:id="0" w:name="_GoBack"/>
      <w:bookmarkEnd w:id="0"/>
    </w:p>
    <w:p>
      <w:pPr>
        <w:snapToGrid w:val="0"/>
        <w:spacing w:line="440" w:lineRule="exact"/>
        <w:rPr>
          <w:rFonts w:ascii="Times New Roman" w:hAnsi="Times New Roman" w:eastAsia="黑体"/>
          <w:color w:val="000000"/>
          <w:szCs w:val="21"/>
        </w:rPr>
      </w:pPr>
      <w:r>
        <w:rPr>
          <w:rFonts w:ascii="Times New Roman" w:hAnsi="Times New Roman" w:eastAsia="黑体"/>
          <w:color w:val="000000"/>
          <w:szCs w:val="21"/>
        </w:rPr>
        <w:t>2 检验依据</w:t>
      </w:r>
    </w:p>
    <w:p>
      <w:pPr>
        <w:snapToGrid w:val="0"/>
        <w:spacing w:line="440" w:lineRule="exact"/>
        <w:ind w:firstLine="422" w:firstLineChars="200"/>
        <w:jc w:val="center"/>
        <w:rPr>
          <w:rFonts w:ascii="Times New Roman" w:hAnsi="Times New Roman"/>
          <w:b/>
          <w:color w:val="000000"/>
          <w:szCs w:val="21"/>
        </w:rPr>
      </w:pPr>
      <w:r>
        <w:rPr>
          <w:rFonts w:hint="eastAsia" w:ascii="Times New Roman" w:hAnsi="Times New Roman"/>
          <w:b/>
          <w:color w:val="000000"/>
          <w:szCs w:val="21"/>
        </w:rPr>
        <w:t>表</w:t>
      </w:r>
      <w:r>
        <w:rPr>
          <w:rFonts w:ascii="Times New Roman" w:hAnsi="Times New Roman"/>
          <w:b/>
          <w:color w:val="000000"/>
          <w:szCs w:val="21"/>
        </w:rPr>
        <w:t xml:space="preserve">1 </w:t>
      </w:r>
      <w:r>
        <w:rPr>
          <w:rFonts w:hint="eastAsia" w:ascii="Times New Roman" w:hAnsi="Times New Roman"/>
          <w:b/>
          <w:color w:val="000000"/>
          <w:szCs w:val="21"/>
        </w:rPr>
        <w:t>玩具</w:t>
      </w:r>
    </w:p>
    <w:p>
      <w:pPr>
        <w:snapToGrid w:val="0"/>
        <w:spacing w:line="440" w:lineRule="exact"/>
        <w:ind w:firstLine="420" w:firstLineChars="200"/>
        <w:rPr>
          <w:rFonts w:ascii="Times New Roman" w:hAnsi="Times New Roman"/>
          <w:color w:val="000000"/>
          <w:szCs w:val="21"/>
        </w:rPr>
      </w:pPr>
      <w:r>
        <w:rPr>
          <w:rFonts w:hint="eastAsia" w:ascii="Times New Roman" w:hAnsi="Times New Roman"/>
          <w:color w:val="000000"/>
          <w:szCs w:val="21"/>
        </w:rPr>
        <w:t>（</w:t>
      </w:r>
      <w:r>
        <w:rPr>
          <w:rFonts w:ascii="Times New Roman" w:hAnsi="Times New Roman"/>
          <w:color w:val="000000"/>
          <w:szCs w:val="21"/>
        </w:rPr>
        <w:t>GB 6675.1</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w:t>
      </w: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w:t>
      </w: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和</w:t>
      </w:r>
      <w:r>
        <w:rPr>
          <w:rFonts w:ascii="Times New Roman" w:hAnsi="Times New Roman"/>
          <w:color w:val="000000"/>
          <w:szCs w:val="21"/>
        </w:rPr>
        <w:t>GB 6675.4</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3717"/>
        <w:gridCol w:w="4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序号</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检验项目</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一、机械与物理性能（正常使用和可预见的合理滥用）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材料</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小零件</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挤压玩具、摇铃及类似玩具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小球</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毛球</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6</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学前玩偶</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7</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玩具奶嘴</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8</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气球</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9</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弹珠</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10</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半球形玩具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11</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可触及的金属或玻璃边缘</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12</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功能性锐利边缘</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13</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金属玩具边缘</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14</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模塑玩具边缘</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15</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外露螺栓或螺纹杆的边缘</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16</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可触及的锐利尖端</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17</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功能性锐利尖端</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18</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木制玩具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19</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突出物</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20</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把手和其他类似的管子</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21</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金属丝和杆件</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22</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用于包装或玩具中的塑料袋或塑料薄膜</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23</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18</w:t>
            </w:r>
            <w:r>
              <w:rPr>
                <w:rFonts w:hint="eastAsia" w:ascii="Times New Roman" w:hAnsi="Times New Roman"/>
                <w:color w:val="000000"/>
                <w:szCs w:val="21"/>
              </w:rPr>
              <w:t>个月以下儿童使用的玩具上的绳索和弹性绳</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24</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18</w:t>
            </w:r>
            <w:r>
              <w:rPr>
                <w:rFonts w:hint="eastAsia" w:ascii="Times New Roman" w:hAnsi="Times New Roman"/>
                <w:color w:val="000000"/>
                <w:szCs w:val="21"/>
              </w:rPr>
              <w:t>个月以下儿童使用的玩具上的自回缩绳</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25</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36</w:t>
            </w:r>
            <w:r>
              <w:rPr>
                <w:rFonts w:hint="eastAsia" w:ascii="Times New Roman" w:hAnsi="Times New Roman"/>
                <w:color w:val="000000"/>
                <w:szCs w:val="21"/>
              </w:rPr>
              <w:t>个月以下儿童使用的拖拉玩具上的绳索或弹性绳</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26</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玩具袋上的绳索</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27</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童床或游戏围栏上的悬挂玩具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28</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童床上的健身玩具及类似玩具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29</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飞行玩具的绳索、细绳或线</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30</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玩具推车、玩具婴儿车及类似玩具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31</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带有折叠机构的其他玩具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32</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铰链间隙</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33</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刚性材料上的圆孔</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34</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活动部件间的间隙</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35</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乘骑玩具的传动链或皮带</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36</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其他驱动机构</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37</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发条钥匙</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38</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弹簧</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39</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可用脚起稳定作用的玩具的侧倾稳定性</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40</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不可用脚起稳定作用的玩具的侧倾稳定性</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41</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前后稳定性</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42</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乘骑玩具及座位的超载性能</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43</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静止在地面上的玩具的稳定性</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44</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封闭式玩具的通风装置</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45</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封闭式玩具的关闭件</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46</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封闭头部的玩具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47</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仿制防护玩具（头盔、帽子、护目镜）</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48</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弹射玩具的一般要求</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49</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蓄能弹射玩具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50</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非蓄能弹射玩具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51</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水上玩具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52</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制动装置</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53</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电动童车的速度要求</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54</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热源玩具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55</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液体填充玩具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56</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口动玩具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57</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玩具滚轴溜冰鞋、单排滚轴溜冰鞋及玩具滑板</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58</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玩具火药帽</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59</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声响要求</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60</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磁体和磁性部件</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2014</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二、易燃性能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一般要求</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头戴玩具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化妆服饰</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供儿童进入的玩具</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具有毛绒或纺织表面的软体填充玩具（动物和娃娃等）</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三、特定元素的迁移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最大限量要求</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6675.4</w:t>
            </w:r>
            <w:r>
              <w:rPr>
                <w:rFonts w:hint="eastAsia" w:ascii="Times New Roman" w:hAnsi="Times New Roman"/>
                <w:color w:val="000000"/>
                <w:szCs w:val="21"/>
              </w:rPr>
              <w:t>—</w:t>
            </w:r>
            <w:r>
              <w:rPr>
                <w:rFonts w:ascii="Times New Roman" w:hAnsi="Times New Roman"/>
                <w:color w:val="000000"/>
                <w:szCs w:val="21"/>
              </w:rPr>
              <w:t>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四、增塑剂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w:t>
            </w:r>
          </w:p>
        </w:tc>
        <w:tc>
          <w:tcPr>
            <w:tcW w:w="3717"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限定增塑剂限量要求</w:t>
            </w:r>
          </w:p>
        </w:tc>
        <w:tc>
          <w:tcPr>
            <w:tcW w:w="4609"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22048</w:t>
            </w:r>
          </w:p>
        </w:tc>
      </w:tr>
    </w:tbl>
    <w:p>
      <w:pPr>
        <w:snapToGrid w:val="0"/>
        <w:spacing w:line="440" w:lineRule="exact"/>
        <w:jc w:val="center"/>
        <w:rPr>
          <w:rFonts w:ascii="Times New Roman" w:hAnsi="Times New Roman"/>
          <w:b/>
          <w:color w:val="000000"/>
          <w:szCs w:val="21"/>
        </w:rPr>
      </w:pPr>
    </w:p>
    <w:p>
      <w:pPr>
        <w:snapToGrid w:val="0"/>
        <w:spacing w:line="440" w:lineRule="exact"/>
        <w:jc w:val="center"/>
        <w:rPr>
          <w:rFonts w:ascii="Times New Roman" w:hAnsi="Times New Roman"/>
          <w:b/>
          <w:color w:val="000000"/>
          <w:szCs w:val="21"/>
        </w:rPr>
      </w:pPr>
      <w:r>
        <w:rPr>
          <w:rFonts w:hint="eastAsia" w:ascii="Times New Roman" w:hAnsi="Times New Roman"/>
          <w:b/>
          <w:color w:val="000000"/>
          <w:szCs w:val="21"/>
        </w:rPr>
        <w:t>表</w:t>
      </w:r>
      <w:r>
        <w:rPr>
          <w:rFonts w:ascii="Times New Roman" w:hAnsi="Times New Roman"/>
          <w:b/>
          <w:color w:val="000000"/>
          <w:szCs w:val="21"/>
        </w:rPr>
        <w:t xml:space="preserve">2 </w:t>
      </w:r>
      <w:r>
        <w:rPr>
          <w:rFonts w:hint="eastAsia" w:ascii="Times New Roman" w:hAnsi="Times New Roman"/>
          <w:b/>
          <w:color w:val="000000"/>
          <w:szCs w:val="21"/>
        </w:rPr>
        <w:t>玩具</w:t>
      </w:r>
    </w:p>
    <w:p>
      <w:pPr>
        <w:snapToGrid w:val="0"/>
        <w:spacing w:line="440" w:lineRule="exact"/>
        <w:jc w:val="center"/>
        <w:rPr>
          <w:rFonts w:ascii="Times New Roman" w:hAnsi="Times New Roman"/>
          <w:color w:val="000000"/>
          <w:szCs w:val="21"/>
        </w:rPr>
      </w:pPr>
      <w:r>
        <w:rPr>
          <w:rFonts w:hint="eastAsia" w:ascii="Times New Roman" w:hAnsi="Times New Roman"/>
          <w:color w:val="000000"/>
          <w:szCs w:val="21"/>
        </w:rPr>
        <w:t>（</w:t>
      </w:r>
      <w:r>
        <w:rPr>
          <w:rFonts w:ascii="Times New Roman" w:hAnsi="Times New Roman"/>
          <w:color w:val="000000"/>
          <w:szCs w:val="21"/>
        </w:rPr>
        <w:t>GB 6675.1</w:t>
      </w:r>
      <w:r>
        <w:rPr>
          <w:rFonts w:hint="eastAsia" w:ascii="Times New Roman" w:hAnsi="Times New Roman"/>
          <w:color w:val="000000"/>
          <w:szCs w:val="21"/>
        </w:rPr>
        <w:t>—</w:t>
      </w:r>
      <w:r>
        <w:rPr>
          <w:rFonts w:ascii="Times New Roman" w:hAnsi="Times New Roman"/>
          <w:color w:val="000000"/>
          <w:szCs w:val="21"/>
        </w:rPr>
        <w:t>2025</w:t>
      </w:r>
      <w:r>
        <w:rPr>
          <w:rFonts w:hint="eastAsia" w:ascii="Times New Roman" w:hAnsi="Times New Roman"/>
          <w:color w:val="000000"/>
          <w:szCs w:val="21"/>
        </w:rPr>
        <w:t>、</w:t>
      </w: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r>
        <w:rPr>
          <w:rFonts w:hint="eastAsia" w:ascii="Times New Roman" w:hAnsi="Times New Roman"/>
          <w:color w:val="000000"/>
          <w:szCs w:val="21"/>
        </w:rPr>
        <w:t>、</w:t>
      </w: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2025</w:t>
      </w:r>
      <w:r>
        <w:rPr>
          <w:rFonts w:hint="eastAsia" w:ascii="Times New Roman" w:hAnsi="Times New Roman"/>
          <w:color w:val="000000"/>
          <w:szCs w:val="21"/>
        </w:rPr>
        <w:t>和</w:t>
      </w:r>
      <w:r>
        <w:rPr>
          <w:rFonts w:ascii="Times New Roman" w:hAnsi="Times New Roman"/>
          <w:color w:val="000000"/>
          <w:szCs w:val="21"/>
        </w:rPr>
        <w:t>GB 6675.4</w:t>
      </w:r>
      <w:r>
        <w:rPr>
          <w:rFonts w:hint="eastAsia" w:ascii="Times New Roman" w:hAnsi="Times New Roman"/>
          <w:color w:val="000000"/>
          <w:szCs w:val="21"/>
        </w:rPr>
        <w:t>—</w:t>
      </w:r>
      <w:r>
        <w:rPr>
          <w:rFonts w:ascii="Times New Roman" w:hAnsi="Times New Roman"/>
          <w:color w:val="000000"/>
          <w:szCs w:val="21"/>
        </w:rPr>
        <w:t>2025</w:t>
      </w:r>
      <w:r>
        <w:rPr>
          <w:rFonts w:hint="eastAsia" w:ascii="Times New Roman" w:hAnsi="Times New Roman"/>
          <w:color w:val="000000"/>
          <w:szCs w:val="21"/>
        </w:rPr>
        <w:t>）</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5650"/>
        <w:gridCol w:w="2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序号</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检验项目</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一、机械与物理性能（正常使用和可预见的合理滥用）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材料</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小零件</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挤压玩具、摇铃、紧固件和特定的其他玩具和玩具部件</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小球</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毛球</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学前玩偶</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玩具奶嘴</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气球</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弹珠</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半球形玩具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可触及的金属或玻璃边缘</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功能性锐利边缘</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金属玩具边缘</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模塑玩具边缘</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外露螺栓或螺纹杆的边缘</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可触及的锐利尖端</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功能性锐利尖端</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木制玩具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突出物</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金属丝和杆件</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玩具及其包装中的塑料薄膜或塑料袋</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供</w:t>
            </w:r>
            <w:r>
              <w:rPr>
                <w:rFonts w:ascii="Times New Roman" w:hAnsi="Times New Roman"/>
                <w:color w:val="000000"/>
                <w:szCs w:val="21"/>
              </w:rPr>
              <w:t>18</w:t>
            </w:r>
            <w:r>
              <w:rPr>
                <w:rFonts w:hint="eastAsia" w:ascii="Times New Roman" w:hAnsi="Times New Roman"/>
                <w:color w:val="000000"/>
                <w:szCs w:val="21"/>
              </w:rPr>
              <w:t>个月以下儿童使用的玩具中的绳索</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供</w:t>
            </w:r>
            <w:r>
              <w:rPr>
                <w:rFonts w:ascii="Times New Roman" w:hAnsi="Times New Roman"/>
                <w:color w:val="000000"/>
                <w:szCs w:val="21"/>
              </w:rPr>
              <w:t>18</w:t>
            </w:r>
            <w:r>
              <w:rPr>
                <w:rFonts w:hint="eastAsia" w:ascii="Times New Roman" w:hAnsi="Times New Roman"/>
                <w:color w:val="000000"/>
                <w:szCs w:val="21"/>
              </w:rPr>
              <w:t>个月及以上但不足</w:t>
            </w:r>
            <w:r>
              <w:rPr>
                <w:rFonts w:ascii="Times New Roman" w:hAnsi="Times New Roman"/>
                <w:color w:val="000000"/>
                <w:szCs w:val="21"/>
              </w:rPr>
              <w:t>36</w:t>
            </w:r>
            <w:r>
              <w:rPr>
                <w:rFonts w:hint="eastAsia" w:ascii="Times New Roman" w:hAnsi="Times New Roman"/>
                <w:color w:val="000000"/>
                <w:szCs w:val="21"/>
              </w:rPr>
              <w:t>个月儿童使用的玩具中的绳索</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供</w:t>
            </w:r>
            <w:r>
              <w:rPr>
                <w:rFonts w:ascii="Times New Roman" w:hAnsi="Times New Roman"/>
                <w:color w:val="000000"/>
                <w:szCs w:val="21"/>
              </w:rPr>
              <w:t>36</w:t>
            </w:r>
            <w:r>
              <w:rPr>
                <w:rFonts w:hint="eastAsia" w:ascii="Times New Roman" w:hAnsi="Times New Roman"/>
                <w:color w:val="000000"/>
                <w:szCs w:val="21"/>
              </w:rPr>
              <w:t>个月以下儿童使用的玩具中的固定绳圈和套索</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拖拉玩具上的绳索</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电缆</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供</w:t>
            </w:r>
            <w:r>
              <w:rPr>
                <w:rFonts w:ascii="Times New Roman" w:hAnsi="Times New Roman"/>
                <w:color w:val="000000"/>
                <w:szCs w:val="21"/>
              </w:rPr>
              <w:t>36</w:t>
            </w:r>
            <w:r>
              <w:rPr>
                <w:rFonts w:hint="eastAsia" w:ascii="Times New Roman" w:hAnsi="Times New Roman"/>
                <w:color w:val="000000"/>
                <w:szCs w:val="21"/>
              </w:rPr>
              <w:t>个月以下儿童使用的特定绳索的直径</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供</w:t>
            </w:r>
            <w:r>
              <w:rPr>
                <w:rFonts w:ascii="Times New Roman" w:hAnsi="Times New Roman"/>
                <w:color w:val="000000"/>
                <w:szCs w:val="21"/>
              </w:rPr>
              <w:t>36</w:t>
            </w:r>
            <w:r>
              <w:rPr>
                <w:rFonts w:hint="eastAsia" w:ascii="Times New Roman" w:hAnsi="Times New Roman"/>
                <w:color w:val="000000"/>
                <w:szCs w:val="21"/>
              </w:rPr>
              <w:t>个月以下儿童使用的玩具上的自回缩绳</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连接或预定以串着横跨的方式或其他方式连接到摇篮、童床、婴儿推车或童车的玩具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玩具袋上的绳索</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玩具推车、玩具婴儿车及类似玩具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带有折叠机构的其他玩具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铰链线间隙</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刚性材料上的圆孔</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活动部件间的可触及间隙</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乘骑玩具的传动链或皮带</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其他驱动机构</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发条钥匙</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弹簧</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可用脚起稳定作用的玩具的侧向稳定性</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不可用脚起稳定作用的玩具的侧向稳定性</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前后稳定性</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乘骑玩具及座位的超载要求</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地面静止玩具的稳定性</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封闭式玩具的通风</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封闭式玩具的关闭件</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封闭头部的玩具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覆盖面部玩具和模拟防护装备玩具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弹射玩具的一般要求</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弹射物</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蓄能弹射玩具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非蓄能弹射玩具的一般要求</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口动弹射玩具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飞镖状弹射物</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箭（例如弓箭套装）</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飞行玩具的一般要求</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飞行玩具的旋转叶片</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遥控飞行玩具的旋转叶片</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水上玩具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制动</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电动乘骑玩具的限速</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非电热源玩具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液体填充玩具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口动玩具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玩具轮滑鞋及玩具滑板</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玩具火药帽</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声响要求</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玩具滑板车的强度</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玩具滑板车的稳定性</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玩具滑板车的可调节和可折叠的把立管和把横管</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玩具滑板车的制动</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玩具滑板车的车轮尺寸</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玩具滑板车的突出部件</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磁体和磁性部件</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悠悠球</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预定供全部或部分绕颈穿戴的带子</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含有拉绳的雪橇</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下颌在把手和方向盘中的卡陷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组装</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功能性玩具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预定与食品接触的玩具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充气玩具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玩具枪标识</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包装袋上的绳索</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食品中包含或与食品相混的玩具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半球形包装</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球形、卵形或椭圆形的包装和可拆卸包装部件</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端部倒圆的圆柱状可拆卸包装部件</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附着于食品上的玩具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pStyle w:val="30"/>
              <w:numPr>
                <w:ilvl w:val="0"/>
                <w:numId w:val="1"/>
              </w:numPr>
              <w:snapToGrid w:val="0"/>
              <w:ind w:firstLineChars="0"/>
              <w:jc w:val="center"/>
              <w:rPr>
                <w:rFonts w:ascii="Times New Roman" w:hAnsi="Times New Roman"/>
                <w:color w:val="000000"/>
                <w:szCs w:val="21"/>
              </w:rPr>
            </w:pP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模拟食品玩具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6675.2</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二、易燃性能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一般要求</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头戴玩具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玩具化装服饰和供儿童玩耍时穿着的玩具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供儿童进入的玩具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软体填充玩具</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6675.3</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174"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三、化学性能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可迁移元素的最大限量要求</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 6675.4</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可触及塑化材料中增塑剂</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22048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甲醛</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2912.1</w:t>
            </w:r>
            <w:r>
              <w:rPr>
                <w:rFonts w:hint="eastAsia" w:ascii="Times New Roman" w:hAnsi="Times New Roman"/>
                <w:color w:val="000000"/>
                <w:szCs w:val="21"/>
              </w:rPr>
              <w:t>—</w:t>
            </w:r>
            <w:r>
              <w:rPr>
                <w:rFonts w:ascii="Times New Roman" w:hAnsi="Times New Roman"/>
                <w:color w:val="000000"/>
                <w:szCs w:val="21"/>
              </w:rPr>
              <w:t>2009</w:t>
            </w:r>
          </w:p>
          <w:p>
            <w:pPr>
              <w:snapToGrid w:val="0"/>
              <w:rPr>
                <w:rFonts w:ascii="Times New Roman" w:hAnsi="Times New Roman"/>
                <w:color w:val="000000"/>
                <w:szCs w:val="21"/>
              </w:rPr>
            </w:pPr>
            <w:r>
              <w:rPr>
                <w:rFonts w:ascii="Times New Roman" w:hAnsi="Times New Roman"/>
                <w:color w:val="000000"/>
                <w:szCs w:val="21"/>
              </w:rPr>
              <w:t>GB/T 19941.1</w:t>
            </w:r>
            <w:r>
              <w:rPr>
                <w:rFonts w:hint="eastAsia" w:ascii="Times New Roman" w:hAnsi="Times New Roman"/>
                <w:color w:val="000000"/>
                <w:szCs w:val="21"/>
              </w:rPr>
              <w:t>—</w:t>
            </w:r>
            <w:r>
              <w:rPr>
                <w:rFonts w:ascii="Times New Roman" w:hAnsi="Times New Roman"/>
                <w:color w:val="000000"/>
                <w:szCs w:val="21"/>
              </w:rPr>
              <w:t>2019</w:t>
            </w:r>
            <w:r>
              <w:rPr>
                <w:rFonts w:hint="eastAsia" w:ascii="Times New Roman" w:hAnsi="Times New Roman"/>
                <w:color w:val="000000"/>
                <w:szCs w:val="21"/>
              </w:rPr>
              <w:t>或</w:t>
            </w:r>
            <w:r>
              <w:rPr>
                <w:rFonts w:ascii="Times New Roman" w:hAnsi="Times New Roman"/>
                <w:color w:val="000000"/>
                <w:szCs w:val="21"/>
              </w:rPr>
              <w:t>GB/T 19941.2</w:t>
            </w:r>
            <w:r>
              <w:rPr>
                <w:rFonts w:hint="eastAsia" w:ascii="Times New Roman" w:hAnsi="Times New Roman"/>
                <w:color w:val="000000"/>
                <w:szCs w:val="21"/>
              </w:rPr>
              <w:t>—</w:t>
            </w:r>
            <w:r>
              <w:rPr>
                <w:rFonts w:ascii="Times New Roman" w:hAnsi="Times New Roman"/>
                <w:color w:val="000000"/>
                <w:szCs w:val="21"/>
              </w:rPr>
              <w:t>2019</w:t>
            </w:r>
          </w:p>
          <w:p>
            <w:pPr>
              <w:snapToGrid w:val="0"/>
              <w:rPr>
                <w:rFonts w:ascii="Times New Roman" w:hAnsi="Times New Roman"/>
                <w:color w:val="000000"/>
                <w:szCs w:val="21"/>
              </w:rPr>
            </w:pPr>
            <w:r>
              <w:rPr>
                <w:rFonts w:ascii="Times New Roman" w:hAnsi="Times New Roman"/>
                <w:color w:val="000000"/>
                <w:szCs w:val="21"/>
              </w:rPr>
              <w:t>GB/T 34448</w:t>
            </w:r>
            <w:r>
              <w:rPr>
                <w:rFonts w:hint="eastAsia" w:ascii="Times New Roman" w:hAnsi="Times New Roman"/>
                <w:color w:val="000000"/>
                <w:szCs w:val="21"/>
              </w:rPr>
              <w:t>—</w:t>
            </w:r>
            <w:r>
              <w:rPr>
                <w:rFonts w:ascii="Times New Roman" w:hAnsi="Times New Roman"/>
                <w:color w:val="000000"/>
                <w:szCs w:val="21"/>
              </w:rPr>
              <w:t>2017</w:t>
            </w:r>
          </w:p>
          <w:p>
            <w:pPr>
              <w:snapToGrid w:val="0"/>
              <w:rPr>
                <w:rFonts w:ascii="Times New Roman" w:hAnsi="Times New Roman"/>
                <w:color w:val="000000"/>
                <w:szCs w:val="21"/>
              </w:rPr>
            </w:pPr>
            <w:r>
              <w:rPr>
                <w:rFonts w:ascii="Times New Roman" w:hAnsi="Times New Roman"/>
                <w:color w:val="000000"/>
                <w:szCs w:val="21"/>
              </w:rPr>
              <w:t>GB/T 46510</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有害芳香胺</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17592</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多环芳烃</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29614</w:t>
            </w:r>
            <w:r>
              <w:rPr>
                <w:rFonts w:hint="eastAsia" w:ascii="Times New Roman" w:hAnsi="Times New Roman"/>
                <w:color w:val="000000"/>
                <w:szCs w:val="21"/>
              </w:rPr>
              <w:t>—</w:t>
            </w:r>
            <w:r>
              <w:rPr>
                <w:rFonts w:ascii="Times New Roman" w:hAnsi="Times New Roman"/>
                <w:color w:val="000000"/>
                <w:szCs w:val="21"/>
              </w:rPr>
              <w:t>2021</w:t>
            </w:r>
            <w:r>
              <w:rPr>
                <w:rFonts w:hint="eastAsia" w:ascii="Times New Roman" w:hAnsi="Times New Roman"/>
                <w:color w:val="000000"/>
                <w:szCs w:val="21"/>
              </w:rPr>
              <w:t>方法</w:t>
            </w:r>
            <w:r>
              <w:rPr>
                <w:rFonts w:ascii="Times New Roman" w:hAnsi="Times New Roman"/>
                <w:color w:val="000000"/>
                <w:szCs w:val="21"/>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6</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可迁移</w:t>
            </w:r>
            <w:r>
              <w:rPr>
                <w:rFonts w:ascii="Times New Roman" w:hAnsi="Times New Roman"/>
                <w:color w:val="000000"/>
                <w:szCs w:val="21"/>
              </w:rPr>
              <w:t>N-</w:t>
            </w:r>
            <w:r>
              <w:rPr>
                <w:rFonts w:hint="eastAsia" w:ascii="Times New Roman" w:hAnsi="Times New Roman"/>
                <w:color w:val="000000"/>
                <w:szCs w:val="21"/>
              </w:rPr>
              <w:t>亚硝胺及</w:t>
            </w:r>
            <w:r>
              <w:rPr>
                <w:rFonts w:ascii="Times New Roman" w:hAnsi="Times New Roman"/>
                <w:color w:val="000000"/>
                <w:szCs w:val="21"/>
              </w:rPr>
              <w:t>N-</w:t>
            </w:r>
            <w:r>
              <w:rPr>
                <w:rFonts w:hint="eastAsia" w:ascii="Times New Roman" w:hAnsi="Times New Roman"/>
                <w:color w:val="000000"/>
                <w:szCs w:val="21"/>
              </w:rPr>
              <w:t>亚硝胺前体物</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41413</w:t>
            </w:r>
            <w:r>
              <w:rPr>
                <w:rFonts w:hint="eastAsia" w:ascii="Times New Roman" w:hAnsi="Times New Roman"/>
                <w:color w:val="000000"/>
                <w:szCs w:val="21"/>
              </w:rPr>
              <w:t>—</w:t>
            </w:r>
            <w:r>
              <w:rPr>
                <w:rFonts w:ascii="Times New Roman" w:hAnsi="Times New Roman"/>
                <w:color w:val="000000"/>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7</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甲酰胺</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34436</w:t>
            </w:r>
            <w:r>
              <w:rPr>
                <w:rFonts w:hint="eastAsia" w:ascii="Times New Roman" w:hAnsi="Times New Roman"/>
                <w:color w:val="000000"/>
                <w:szCs w:val="21"/>
              </w:rPr>
              <w:t>—</w:t>
            </w:r>
            <w:r>
              <w:rPr>
                <w:rFonts w:ascii="Times New Roman" w:hAnsi="Times New Roman"/>
                <w:color w:val="000000"/>
                <w:szCs w:val="21"/>
              </w:rPr>
              <w:t>2023</w:t>
            </w:r>
          </w:p>
          <w:p>
            <w:pPr>
              <w:snapToGrid w:val="0"/>
              <w:rPr>
                <w:rFonts w:ascii="Times New Roman" w:hAnsi="Times New Roman"/>
                <w:color w:val="000000"/>
                <w:szCs w:val="21"/>
              </w:rPr>
            </w:pPr>
            <w:r>
              <w:rPr>
                <w:rFonts w:ascii="Times New Roman" w:hAnsi="Times New Roman"/>
                <w:color w:val="000000"/>
                <w:szCs w:val="21"/>
              </w:rPr>
              <w:t>GB/T 43276</w:t>
            </w:r>
            <w:r>
              <w:rPr>
                <w:rFonts w:hint="eastAsia" w:ascii="Times New Roman" w:hAnsi="Times New Roman"/>
                <w:color w:val="000000"/>
                <w:szCs w:val="21"/>
              </w:rPr>
              <w:t>—</w:t>
            </w:r>
            <w:r>
              <w:rPr>
                <w:rFonts w:ascii="Times New Roman" w:hAnsi="Times New Roman"/>
                <w:color w:val="000000"/>
                <w:szCs w:val="21"/>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8</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短链氯化石蜡</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41524</w:t>
            </w:r>
            <w:r>
              <w:rPr>
                <w:rFonts w:hint="eastAsia" w:ascii="Times New Roman" w:hAnsi="Times New Roman"/>
                <w:color w:val="000000"/>
                <w:szCs w:val="21"/>
              </w:rPr>
              <w:t>—</w:t>
            </w:r>
            <w:r>
              <w:rPr>
                <w:rFonts w:ascii="Times New Roman" w:hAnsi="Times New Roman"/>
                <w:color w:val="000000"/>
                <w:szCs w:val="21"/>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9</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甲醛、苯、甲苯、二甲苯和</w:t>
            </w:r>
            <w:r>
              <w:rPr>
                <w:rFonts w:ascii="Times New Roman" w:hAnsi="Times New Roman"/>
                <w:color w:val="000000"/>
                <w:szCs w:val="21"/>
              </w:rPr>
              <w:t>TVOC</w:t>
            </w:r>
            <w:r>
              <w:rPr>
                <w:rFonts w:hint="eastAsia" w:ascii="Times New Roman" w:hAnsi="Times New Roman"/>
                <w:color w:val="000000"/>
                <w:szCs w:val="21"/>
              </w:rPr>
              <w:t>的释放量</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46509</w:t>
            </w:r>
            <w:r>
              <w:rPr>
                <w:rFonts w:hint="eastAsia" w:ascii="Times New Roman" w:hAnsi="Times New Roman"/>
                <w:color w:val="000000"/>
                <w:szCs w:val="21"/>
              </w:rPr>
              <w:t>—</w:t>
            </w:r>
            <w:r>
              <w:rPr>
                <w:rFonts w:ascii="Times New Roman" w:hAnsi="Times New Roman"/>
                <w:color w:val="000000"/>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48"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10</w:t>
            </w:r>
          </w:p>
        </w:tc>
        <w:tc>
          <w:tcPr>
            <w:tcW w:w="5650"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致敏性芳香剂</w:t>
            </w:r>
          </w:p>
        </w:tc>
        <w:tc>
          <w:tcPr>
            <w:tcW w:w="267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38424</w:t>
            </w:r>
            <w:r>
              <w:rPr>
                <w:rFonts w:hint="eastAsia" w:ascii="Times New Roman" w:hAnsi="Times New Roman"/>
                <w:color w:val="000000"/>
                <w:szCs w:val="21"/>
              </w:rPr>
              <w:t>—</w:t>
            </w:r>
            <w:r>
              <w:rPr>
                <w:rFonts w:ascii="Times New Roman" w:hAnsi="Times New Roman"/>
                <w:color w:val="000000"/>
                <w:szCs w:val="21"/>
              </w:rPr>
              <w:t>2019</w:t>
            </w:r>
          </w:p>
        </w:tc>
      </w:tr>
    </w:tbl>
    <w:p>
      <w:pPr>
        <w:snapToGrid w:val="0"/>
        <w:spacing w:line="440" w:lineRule="exact"/>
        <w:rPr>
          <w:rFonts w:ascii="Times New Roman" w:hAnsi="Times New Roman"/>
          <w:color w:val="000000"/>
          <w:szCs w:val="21"/>
        </w:rPr>
      </w:pPr>
    </w:p>
    <w:p>
      <w:pPr>
        <w:snapToGrid w:val="0"/>
        <w:spacing w:line="440" w:lineRule="exact"/>
        <w:ind w:firstLine="2530" w:firstLineChars="1200"/>
        <w:rPr>
          <w:rFonts w:ascii="Times New Roman" w:hAnsi="Times New Roman"/>
          <w:b/>
          <w:color w:val="000000"/>
          <w:szCs w:val="21"/>
        </w:rPr>
      </w:pPr>
      <w:r>
        <w:rPr>
          <w:rFonts w:hint="eastAsia" w:ascii="Times New Roman" w:hAnsi="Times New Roman"/>
          <w:b/>
          <w:color w:val="000000"/>
          <w:szCs w:val="21"/>
        </w:rPr>
        <w:t>表</w:t>
      </w:r>
      <w:r>
        <w:rPr>
          <w:rFonts w:ascii="Times New Roman" w:hAnsi="Times New Roman"/>
          <w:b/>
          <w:color w:val="000000"/>
          <w:szCs w:val="21"/>
        </w:rPr>
        <w:t xml:space="preserve">3  </w:t>
      </w:r>
      <w:r>
        <w:rPr>
          <w:rFonts w:hint="eastAsia" w:ascii="Times New Roman" w:hAnsi="Times New Roman"/>
          <w:b/>
          <w:color w:val="000000"/>
          <w:szCs w:val="21"/>
        </w:rPr>
        <w:t>玩具电性能（</w:t>
      </w:r>
      <w:r>
        <w:rPr>
          <w:rFonts w:ascii="Times New Roman" w:hAnsi="Times New Roman"/>
          <w:b/>
          <w:color w:val="000000"/>
          <w:szCs w:val="21"/>
        </w:rPr>
        <w:t>GB 19865</w:t>
      </w:r>
      <w:r>
        <w:rPr>
          <w:rFonts w:hint="eastAsia" w:ascii="Times New Roman" w:hAnsi="Times New Roman"/>
          <w:b/>
          <w:color w:val="000000"/>
          <w:szCs w:val="21"/>
        </w:rPr>
        <w:t>—</w:t>
      </w:r>
      <w:r>
        <w:rPr>
          <w:rFonts w:ascii="Times New Roman" w:hAnsi="Times New Roman"/>
          <w:b/>
          <w:color w:val="000000"/>
          <w:szCs w:val="21"/>
        </w:rPr>
        <w:t>2005</w:t>
      </w:r>
      <w:r>
        <w:rPr>
          <w:rFonts w:hint="eastAsia" w:ascii="Times New Roman" w:hAnsi="Times New Roman"/>
          <w:b/>
          <w:color w:val="000000"/>
          <w:szCs w:val="21"/>
        </w:rPr>
        <w:t>）</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4474"/>
        <w:gridCol w:w="3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序号</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检验项目</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1</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标识和说明</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2</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输入功率</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3</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发热和非正常工作</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r>
              <w:rPr>
                <w:rFonts w:hint="eastAsia" w:ascii="Times New Roman" w:hAnsi="Times New Roman"/>
                <w:color w:val="000000"/>
                <w:szCs w:val="21"/>
              </w:rPr>
              <w:t>（含第</w:t>
            </w:r>
            <w:r>
              <w:rPr>
                <w:rFonts w:ascii="Times New Roman" w:hAnsi="Times New Roman"/>
                <w:color w:val="000000"/>
                <w:szCs w:val="21"/>
              </w:rPr>
              <w:t>1</w:t>
            </w:r>
            <w:r>
              <w:rPr>
                <w:rFonts w:hint="eastAsia" w:ascii="Times New Roman" w:hAnsi="Times New Roman"/>
                <w:color w:val="000000"/>
                <w:szCs w:val="21"/>
              </w:rPr>
              <w:t>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4</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工作温度下的电气强度</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5</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耐潮湿</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6</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室温下的电气强度</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7</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机械强度</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8</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结构</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9</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软线和电线的保护</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10</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螺钉和连接</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11</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电气间隙和爬电距离</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12</w:t>
            </w:r>
          </w:p>
        </w:tc>
        <w:tc>
          <w:tcPr>
            <w:tcW w:w="4474"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hint="eastAsia" w:ascii="Times New Roman" w:hAnsi="Times New Roman"/>
                <w:color w:val="000000"/>
                <w:szCs w:val="21"/>
              </w:rPr>
              <w:t>耐热和耐燃</w:t>
            </w:r>
          </w:p>
        </w:tc>
        <w:tc>
          <w:tcPr>
            <w:tcW w:w="3537" w:type="dxa"/>
            <w:tcBorders>
              <w:top w:val="single" w:color="auto" w:sz="4" w:space="0"/>
              <w:left w:val="nil"/>
              <w:bottom w:val="single" w:color="auto" w:sz="4" w:space="0"/>
              <w:right w:val="single" w:color="auto" w:sz="4" w:space="0"/>
            </w:tcBorders>
            <w:vAlign w:val="center"/>
          </w:tcPr>
          <w:p>
            <w:pPr>
              <w:snapToGrid w:val="0"/>
              <w:spacing w:line="440" w:lineRule="exact"/>
              <w:rPr>
                <w:rFonts w:ascii="Times New Roman" w:hAnsi="Times New Roman"/>
                <w:color w:val="000000"/>
                <w:szCs w:val="21"/>
              </w:rPr>
            </w:pP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p>
        </w:tc>
      </w:tr>
    </w:tbl>
    <w:p>
      <w:pPr>
        <w:snapToGrid w:val="0"/>
        <w:spacing w:line="440" w:lineRule="exact"/>
        <w:rPr>
          <w:rFonts w:ascii="Times New Roman" w:hAnsi="Times New Roman"/>
          <w:color w:val="000000"/>
          <w:szCs w:val="21"/>
        </w:rPr>
      </w:pPr>
    </w:p>
    <w:p>
      <w:pPr>
        <w:snapToGrid w:val="0"/>
        <w:spacing w:line="440" w:lineRule="exact"/>
        <w:jc w:val="center"/>
        <w:rPr>
          <w:rFonts w:ascii="Times New Roman" w:hAnsi="Times New Roman"/>
          <w:b/>
          <w:color w:val="000000"/>
          <w:szCs w:val="21"/>
        </w:rPr>
      </w:pPr>
      <w:r>
        <w:rPr>
          <w:rFonts w:hint="eastAsia" w:ascii="Times New Roman" w:hAnsi="Times New Roman"/>
          <w:b/>
          <w:color w:val="000000"/>
          <w:szCs w:val="21"/>
        </w:rPr>
        <w:t>表</w:t>
      </w:r>
      <w:r>
        <w:rPr>
          <w:rFonts w:ascii="Times New Roman" w:hAnsi="Times New Roman"/>
          <w:b/>
          <w:color w:val="000000"/>
          <w:szCs w:val="21"/>
        </w:rPr>
        <w:t xml:space="preserve">4 </w:t>
      </w:r>
      <w:r>
        <w:rPr>
          <w:rFonts w:hint="eastAsia" w:ascii="Times New Roman" w:hAnsi="Times New Roman"/>
          <w:b/>
          <w:color w:val="000000"/>
          <w:szCs w:val="21"/>
        </w:rPr>
        <w:t>玩具电性能（</w:t>
      </w:r>
      <w:r>
        <w:rPr>
          <w:rFonts w:ascii="Times New Roman" w:hAnsi="Times New Roman"/>
          <w:b/>
          <w:color w:val="000000"/>
          <w:szCs w:val="21"/>
        </w:rPr>
        <w:t>GB/T 19865</w:t>
      </w:r>
      <w:r>
        <w:rPr>
          <w:rFonts w:hint="eastAsia" w:ascii="Times New Roman" w:hAnsi="Times New Roman"/>
          <w:b/>
          <w:color w:val="000000"/>
          <w:szCs w:val="21"/>
        </w:rPr>
        <w:t>—</w:t>
      </w:r>
      <w:r>
        <w:rPr>
          <w:rFonts w:ascii="Times New Roman" w:hAnsi="Times New Roman"/>
          <w:b/>
          <w:color w:val="000000"/>
          <w:szCs w:val="21"/>
        </w:rPr>
        <w:t>2024</w:t>
      </w:r>
      <w:r>
        <w:rPr>
          <w:rFonts w:hint="eastAsia" w:ascii="Times New Roman" w:hAnsi="Times New Roman"/>
          <w:b/>
          <w:color w:val="000000"/>
          <w:szCs w:val="21"/>
        </w:rPr>
        <w:t>）</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4485"/>
        <w:gridCol w:w="3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序号</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检验项目</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标识和说明</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2</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输入功率</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3</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发热和非正常工作</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4</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电气强度</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5</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在水中使用的电玩具、使用液体的电玩具和用液体清洁的电玩具</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6</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机械强度</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7</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结构</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8</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软线和电线的保护</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9</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螺钉和连接</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10</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电气间隙和爬电距离</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63" w:type="dxa"/>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11</w:t>
            </w:r>
          </w:p>
        </w:tc>
        <w:tc>
          <w:tcPr>
            <w:tcW w:w="4485"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hint="eastAsia" w:ascii="Times New Roman" w:hAnsi="Times New Roman"/>
                <w:color w:val="000000"/>
                <w:szCs w:val="21"/>
              </w:rPr>
              <w:t>耐热和耐燃</w:t>
            </w:r>
          </w:p>
        </w:tc>
        <w:tc>
          <w:tcPr>
            <w:tcW w:w="3526" w:type="dxa"/>
            <w:tcBorders>
              <w:top w:val="single" w:color="auto" w:sz="4" w:space="0"/>
              <w:left w:val="nil"/>
              <w:bottom w:val="single" w:color="auto" w:sz="4" w:space="0"/>
              <w:right w:val="single" w:color="auto" w:sz="4" w:space="0"/>
            </w:tcBorders>
            <w:vAlign w:val="center"/>
          </w:tcPr>
          <w:p>
            <w:pPr>
              <w:snapToGrid w:val="0"/>
              <w:rPr>
                <w:rFonts w:ascii="Times New Roman" w:hAnsi="Times New Roman"/>
                <w:color w:val="000000"/>
                <w:szCs w:val="21"/>
              </w:rPr>
            </w:pP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p>
        </w:tc>
      </w:tr>
    </w:tbl>
    <w:p>
      <w:pPr>
        <w:snapToGrid w:val="0"/>
        <w:spacing w:line="440" w:lineRule="exact"/>
        <w:ind w:firstLine="420"/>
        <w:rPr>
          <w:rFonts w:ascii="Times New Roman" w:hAnsi="Times New Roman"/>
          <w:color w:val="000000"/>
          <w:szCs w:val="21"/>
        </w:rPr>
      </w:pPr>
      <w:r>
        <w:rPr>
          <w:rFonts w:hint="eastAsia" w:ascii="Times New Roman" w:hAnsi="Times New Roman"/>
          <w:color w:val="000000"/>
          <w:szCs w:val="21"/>
        </w:rPr>
        <w:t>备注：</w:t>
      </w:r>
    </w:p>
    <w:p>
      <w:pPr>
        <w:snapToGrid w:val="0"/>
        <w:spacing w:line="440" w:lineRule="exact"/>
        <w:ind w:firstLine="420"/>
        <w:rPr>
          <w:rFonts w:ascii="Times New Roman" w:hAnsi="Times New Roman"/>
          <w:color w:val="000000"/>
          <w:szCs w:val="21"/>
        </w:rPr>
      </w:pPr>
      <w:r>
        <w:rPr>
          <w:rFonts w:ascii="Times New Roman" w:hAnsi="Times New Roman"/>
          <w:color w:val="000000"/>
          <w:szCs w:val="21"/>
        </w:rPr>
        <w:t>1.</w:t>
      </w:r>
      <w:r>
        <w:rPr>
          <w:rFonts w:hint="eastAsia" w:ascii="Times New Roman" w:hAnsi="Times New Roman"/>
          <w:color w:val="000000"/>
          <w:szCs w:val="21"/>
        </w:rPr>
        <w:t>若被检产品未标注执行标准的年代号，根据产品标注的生产日期确定执行标准。生产日期在当前有效的标准实施之后，按当前有效的标准执行，反之，按前一版本标准执行。若被检产品未标注生产日期，按当前有效的标准执行。当前有效的标准指已发布并实施的最新标准。</w:t>
      </w:r>
    </w:p>
    <w:p>
      <w:pPr>
        <w:snapToGrid w:val="0"/>
        <w:spacing w:line="440" w:lineRule="exact"/>
        <w:ind w:firstLine="420"/>
        <w:rPr>
          <w:rFonts w:ascii="Times New Roman" w:hAnsi="Times New Roman"/>
          <w:color w:val="000000"/>
          <w:szCs w:val="21"/>
        </w:rPr>
      </w:pPr>
      <w:r>
        <w:rPr>
          <w:rFonts w:ascii="Times New Roman" w:hAnsi="Times New Roman"/>
          <w:color w:val="000000"/>
          <w:szCs w:val="21"/>
        </w:rPr>
        <w:t>2.</w:t>
      </w:r>
      <w:r>
        <w:rPr>
          <w:rFonts w:hint="eastAsia" w:ascii="Times New Roman" w:hAnsi="Times New Roman"/>
          <w:color w:val="000000"/>
          <w:szCs w:val="21"/>
        </w:rPr>
        <w:t>进行</w:t>
      </w:r>
      <w:r>
        <w:rPr>
          <w:rFonts w:ascii="Times New Roman" w:hAnsi="Times New Roman"/>
          <w:color w:val="000000"/>
          <w:szCs w:val="21"/>
        </w:rPr>
        <w:t>GB 19865</w:t>
      </w:r>
      <w:r>
        <w:rPr>
          <w:rFonts w:hint="eastAsia" w:ascii="Times New Roman" w:hAnsi="Times New Roman"/>
          <w:color w:val="000000"/>
          <w:szCs w:val="21"/>
        </w:rPr>
        <w:t>—</w:t>
      </w:r>
      <w:r>
        <w:rPr>
          <w:rFonts w:ascii="Times New Roman" w:hAnsi="Times New Roman"/>
          <w:color w:val="000000"/>
          <w:szCs w:val="21"/>
        </w:rPr>
        <w:t>2005</w:t>
      </w:r>
      <w:r>
        <w:rPr>
          <w:rFonts w:hint="eastAsia" w:ascii="Times New Roman" w:hAnsi="Times New Roman"/>
          <w:color w:val="000000"/>
          <w:szCs w:val="21"/>
        </w:rPr>
        <w:t>和</w:t>
      </w:r>
      <w:r>
        <w:rPr>
          <w:rFonts w:ascii="Times New Roman" w:hAnsi="Times New Roman"/>
          <w:color w:val="000000"/>
          <w:szCs w:val="21"/>
        </w:rPr>
        <w:t>GB/T 19865</w:t>
      </w:r>
      <w:r>
        <w:rPr>
          <w:rFonts w:hint="eastAsia" w:ascii="Times New Roman" w:hAnsi="Times New Roman"/>
          <w:color w:val="000000"/>
          <w:szCs w:val="21"/>
        </w:rPr>
        <w:t>—</w:t>
      </w:r>
      <w:r>
        <w:rPr>
          <w:rFonts w:ascii="Times New Roman" w:hAnsi="Times New Roman"/>
          <w:color w:val="000000"/>
          <w:szCs w:val="21"/>
        </w:rPr>
        <w:t>2024</w:t>
      </w:r>
      <w:r>
        <w:rPr>
          <w:rFonts w:hint="eastAsia" w:ascii="Times New Roman" w:hAnsi="Times New Roman"/>
          <w:color w:val="000000"/>
          <w:szCs w:val="21"/>
        </w:rPr>
        <w:t>测试前应按标准第</w:t>
      </w:r>
      <w:r>
        <w:rPr>
          <w:rFonts w:ascii="Times New Roman" w:hAnsi="Times New Roman"/>
          <w:color w:val="000000"/>
          <w:szCs w:val="21"/>
        </w:rPr>
        <w:t>5</w:t>
      </w:r>
      <w:r>
        <w:rPr>
          <w:rFonts w:hint="eastAsia" w:ascii="Times New Roman" w:hAnsi="Times New Roman"/>
          <w:color w:val="000000"/>
          <w:szCs w:val="21"/>
        </w:rPr>
        <w:t>章进行预处理。</w:t>
      </w:r>
    </w:p>
    <w:p>
      <w:pPr>
        <w:snapToGrid w:val="0"/>
        <w:spacing w:line="440" w:lineRule="exact"/>
        <w:rPr>
          <w:rFonts w:ascii="Times New Roman" w:hAnsi="Times New Roman"/>
          <w:color w:val="000000"/>
          <w:szCs w:val="21"/>
        </w:rPr>
      </w:pPr>
      <w:r>
        <w:rPr>
          <w:rFonts w:hint="eastAsia" w:ascii="Times New Roman" w:hAnsi="Times New Roman"/>
          <w:color w:val="000000"/>
          <w:szCs w:val="21"/>
        </w:rPr>
        <w:t>执行企业标准、团体标准、地方标准的产品，检验项目参照上述内容执行。</w:t>
      </w:r>
    </w:p>
    <w:p>
      <w:pPr>
        <w:snapToGrid w:val="0"/>
        <w:spacing w:line="440" w:lineRule="exact"/>
        <w:rPr>
          <w:rFonts w:ascii="Times New Roman" w:hAnsi="Times New Roman"/>
          <w:color w:val="000000"/>
          <w:szCs w:val="21"/>
        </w:rPr>
      </w:pPr>
      <w:r>
        <w:rPr>
          <w:rFonts w:hint="eastAsia" w:ascii="Times New Roman" w:hAnsi="Times New Roman"/>
          <w:color w:val="000000"/>
          <w:szCs w:val="21"/>
        </w:rPr>
        <w:t>凡是注日期的文件，其随后所有的修改单（不包括勘误的内容）或修订版不适用于本细则。凡是不注日期的文件，其最新版本适用于本细则。</w:t>
      </w:r>
    </w:p>
    <w:p>
      <w:pPr>
        <w:rPr>
          <w:rFonts w:ascii="Times New Roman" w:hAnsi="Times New Roman" w:eastAsia="仿宋"/>
          <w:b/>
          <w:bCs/>
        </w:rPr>
      </w:pPr>
    </w:p>
    <w:p>
      <w:pPr>
        <w:spacing w:line="360" w:lineRule="auto"/>
        <w:rPr>
          <w:rFonts w:ascii="Times New Roman" w:hAnsi="Times New Roman" w:eastAsia="黑体"/>
          <w:color w:val="000000"/>
          <w:szCs w:val="21"/>
        </w:rPr>
      </w:pPr>
      <w:r>
        <w:rPr>
          <w:rFonts w:ascii="Times New Roman" w:hAnsi="Times New Roman" w:eastAsia="黑体"/>
          <w:color w:val="000000"/>
          <w:szCs w:val="21"/>
        </w:rPr>
        <w:t>3 判定规则</w:t>
      </w:r>
    </w:p>
    <w:p>
      <w:pPr>
        <w:snapToGrid w:val="0"/>
        <w:spacing w:line="360" w:lineRule="auto"/>
        <w:rPr>
          <w:rFonts w:ascii="Times New Roman" w:hAnsi="Times New Roman"/>
          <w:color w:val="000000"/>
          <w:szCs w:val="21"/>
        </w:rPr>
      </w:pPr>
      <w:r>
        <w:rPr>
          <w:rFonts w:ascii="Times New Roman" w:hAnsi="Times New Roman"/>
          <w:color w:val="000000"/>
          <w:szCs w:val="21"/>
        </w:rPr>
        <w:t>3.1依据标准</w:t>
      </w:r>
    </w:p>
    <w:p>
      <w:pPr>
        <w:snapToGrid w:val="0"/>
        <w:spacing w:line="360" w:lineRule="auto"/>
        <w:ind w:firstLine="420" w:firstLineChars="200"/>
        <w:rPr>
          <w:rFonts w:ascii="Times New Roman" w:hAnsi="Times New Roman"/>
          <w:color w:val="000000"/>
          <w:szCs w:val="21"/>
        </w:rPr>
      </w:pPr>
      <w:r>
        <w:rPr>
          <w:rFonts w:hint="eastAsia" w:ascii="Times New Roman" w:hAnsi="Times New Roman"/>
          <w:color w:val="000000"/>
          <w:szCs w:val="21"/>
        </w:rPr>
        <w:t>GB 6675.1—2014《玩具安全第1部分：基本规范》</w:t>
      </w:r>
    </w:p>
    <w:p>
      <w:pPr>
        <w:snapToGrid w:val="0"/>
        <w:spacing w:line="360" w:lineRule="auto"/>
        <w:ind w:firstLine="420" w:firstLineChars="200"/>
        <w:rPr>
          <w:rFonts w:ascii="Times New Roman" w:hAnsi="Times New Roman"/>
          <w:color w:val="000000"/>
          <w:szCs w:val="21"/>
        </w:rPr>
      </w:pPr>
      <w:r>
        <w:rPr>
          <w:rFonts w:hint="eastAsia" w:ascii="Times New Roman" w:hAnsi="Times New Roman"/>
          <w:color w:val="000000"/>
          <w:szCs w:val="21"/>
        </w:rPr>
        <w:t>GB 6675.1—2025《玩具安全第1部分：基本规范》</w:t>
      </w:r>
    </w:p>
    <w:p>
      <w:pPr>
        <w:snapToGrid w:val="0"/>
        <w:spacing w:line="360" w:lineRule="auto"/>
        <w:ind w:firstLine="420" w:firstLineChars="200"/>
        <w:rPr>
          <w:rFonts w:ascii="Times New Roman" w:hAnsi="Times New Roman"/>
          <w:color w:val="000000"/>
          <w:szCs w:val="21"/>
        </w:rPr>
      </w:pPr>
      <w:r>
        <w:rPr>
          <w:rFonts w:hint="eastAsia" w:ascii="Times New Roman" w:hAnsi="Times New Roman"/>
          <w:color w:val="000000"/>
          <w:szCs w:val="21"/>
        </w:rPr>
        <w:t>GB 6675.2—2014《玩具安全第2部分：机械与物理性能》（含第1号修改单）</w:t>
      </w:r>
    </w:p>
    <w:p>
      <w:pPr>
        <w:snapToGrid w:val="0"/>
        <w:spacing w:line="360" w:lineRule="auto"/>
        <w:ind w:firstLine="420" w:firstLineChars="200"/>
        <w:rPr>
          <w:rFonts w:ascii="Times New Roman" w:hAnsi="Times New Roman"/>
          <w:color w:val="000000"/>
          <w:szCs w:val="21"/>
        </w:rPr>
      </w:pPr>
      <w:r>
        <w:rPr>
          <w:rFonts w:hint="eastAsia" w:ascii="Times New Roman" w:hAnsi="Times New Roman"/>
          <w:color w:val="000000"/>
          <w:szCs w:val="21"/>
        </w:rPr>
        <w:t>GB 6675.2—2025《玩具安全第2部分：机械与物理性能》</w:t>
      </w:r>
    </w:p>
    <w:p>
      <w:pPr>
        <w:snapToGrid w:val="0"/>
        <w:spacing w:line="360" w:lineRule="auto"/>
        <w:ind w:firstLine="420" w:firstLineChars="200"/>
        <w:rPr>
          <w:rFonts w:ascii="Times New Roman" w:hAnsi="Times New Roman"/>
          <w:color w:val="000000"/>
          <w:szCs w:val="21"/>
        </w:rPr>
      </w:pPr>
      <w:r>
        <w:rPr>
          <w:rFonts w:hint="eastAsia" w:ascii="Times New Roman" w:hAnsi="Times New Roman"/>
          <w:color w:val="000000"/>
          <w:szCs w:val="21"/>
        </w:rPr>
        <w:t>GB 6675.3—2014《玩具安全第3部分：易燃性能》</w:t>
      </w:r>
    </w:p>
    <w:p>
      <w:pPr>
        <w:snapToGrid w:val="0"/>
        <w:spacing w:line="360" w:lineRule="auto"/>
        <w:ind w:firstLine="420" w:firstLineChars="200"/>
        <w:rPr>
          <w:rFonts w:ascii="Times New Roman" w:hAnsi="Times New Roman"/>
          <w:color w:val="000000"/>
          <w:szCs w:val="21"/>
        </w:rPr>
      </w:pPr>
      <w:r>
        <w:rPr>
          <w:rFonts w:hint="eastAsia" w:ascii="Times New Roman" w:hAnsi="Times New Roman"/>
          <w:color w:val="000000"/>
          <w:szCs w:val="21"/>
        </w:rPr>
        <w:t>GB 6675.3—2025《玩具安全第3部分：易燃性能》</w:t>
      </w:r>
    </w:p>
    <w:p>
      <w:pPr>
        <w:snapToGrid w:val="0"/>
        <w:spacing w:line="360" w:lineRule="auto"/>
        <w:ind w:firstLine="420" w:firstLineChars="200"/>
        <w:rPr>
          <w:rFonts w:ascii="Times New Roman" w:hAnsi="Times New Roman"/>
          <w:color w:val="000000"/>
          <w:szCs w:val="21"/>
        </w:rPr>
      </w:pPr>
      <w:r>
        <w:rPr>
          <w:rFonts w:hint="eastAsia" w:ascii="Times New Roman" w:hAnsi="Times New Roman"/>
          <w:color w:val="000000"/>
          <w:szCs w:val="21"/>
        </w:rPr>
        <w:t>GB 6675.4—2014《玩具安全第4部分：特定元素的迁移》</w:t>
      </w:r>
    </w:p>
    <w:p>
      <w:pPr>
        <w:snapToGrid w:val="0"/>
        <w:spacing w:line="360" w:lineRule="auto"/>
        <w:ind w:firstLine="420" w:firstLineChars="200"/>
        <w:rPr>
          <w:rFonts w:ascii="Times New Roman" w:hAnsi="Times New Roman"/>
          <w:color w:val="000000"/>
          <w:szCs w:val="21"/>
        </w:rPr>
      </w:pPr>
      <w:r>
        <w:rPr>
          <w:rFonts w:hint="eastAsia" w:ascii="Times New Roman" w:hAnsi="Times New Roman"/>
          <w:color w:val="000000"/>
          <w:szCs w:val="21"/>
        </w:rPr>
        <w:t>GB 6675.4—2025《玩具安全第4部分：特定元素的迁移》</w:t>
      </w:r>
    </w:p>
    <w:p>
      <w:pPr>
        <w:snapToGrid w:val="0"/>
        <w:spacing w:line="360" w:lineRule="auto"/>
        <w:ind w:firstLine="420" w:firstLineChars="200"/>
        <w:rPr>
          <w:rFonts w:ascii="Times New Roman" w:hAnsi="Times New Roman"/>
          <w:color w:val="000000"/>
          <w:szCs w:val="21"/>
        </w:rPr>
      </w:pPr>
      <w:r>
        <w:rPr>
          <w:rFonts w:hint="eastAsia" w:ascii="Times New Roman" w:hAnsi="Times New Roman"/>
          <w:color w:val="000000"/>
          <w:szCs w:val="21"/>
        </w:rPr>
        <w:t>GB 19865—2005《电玩具的安全》（含第1号修改单）</w:t>
      </w:r>
    </w:p>
    <w:p>
      <w:pPr>
        <w:snapToGrid w:val="0"/>
        <w:spacing w:line="360" w:lineRule="auto"/>
        <w:ind w:firstLine="420" w:firstLineChars="200"/>
        <w:rPr>
          <w:rFonts w:ascii="Times New Roman" w:hAnsi="Times New Roman"/>
          <w:color w:val="000000"/>
          <w:szCs w:val="21"/>
        </w:rPr>
      </w:pPr>
      <w:r>
        <w:rPr>
          <w:rFonts w:hint="eastAsia" w:ascii="Times New Roman" w:hAnsi="Times New Roman"/>
          <w:color w:val="000000"/>
          <w:szCs w:val="21"/>
        </w:rPr>
        <w:t>GB/T 19865—2024《电玩具的安全》</w:t>
      </w:r>
    </w:p>
    <w:p>
      <w:pPr>
        <w:snapToGrid w:val="0"/>
        <w:spacing w:line="360" w:lineRule="auto"/>
        <w:ind w:firstLine="420" w:firstLineChars="200"/>
        <w:rPr>
          <w:rFonts w:ascii="Times New Roman" w:hAnsi="Times New Roman"/>
          <w:color w:val="000000"/>
          <w:szCs w:val="21"/>
        </w:rPr>
      </w:pPr>
      <w:r>
        <w:rPr>
          <w:rFonts w:ascii="Times New Roman" w:hAnsi="Times New Roman"/>
          <w:color w:val="000000"/>
          <w:szCs w:val="21"/>
        </w:rPr>
        <w:t>现行有效的企业标准、团体标准、地方标准及产品明示质量要求</w:t>
      </w:r>
    </w:p>
    <w:p>
      <w:pPr>
        <w:snapToGrid w:val="0"/>
        <w:spacing w:line="360" w:lineRule="auto"/>
        <w:rPr>
          <w:rFonts w:ascii="Times New Roman" w:hAnsi="Times New Roman"/>
          <w:color w:val="000000"/>
          <w:szCs w:val="21"/>
        </w:rPr>
      </w:pPr>
      <w:r>
        <w:rPr>
          <w:rFonts w:ascii="Times New Roman" w:hAnsi="Times New Roman"/>
          <w:color w:val="000000"/>
          <w:szCs w:val="21"/>
        </w:rPr>
        <w:t>3.2判定原则</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经检验，检验项目全部合格，判定为被抽查产品所检项目未发现不合格；检验项目中任一项或一项以上不合格，判定为被抽查产品不合格。</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若被检产品明示的质量要求高于本细则中检验项目依据的标准要求时，应按被检产品明示的质量要求判定。</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若被检产品明示的质量要求低于本细则中检验项目依据的强制性标准要求时，应按照强制性标准要求判定。</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若被检产品明示的质量要求低于或包含本细则中检验项目依据的推荐性标准要求时，应以被检产品明示的质量要求判定。</w:t>
      </w:r>
    </w:p>
    <w:p>
      <w:pPr>
        <w:snapToGrid w:val="0"/>
        <w:spacing w:line="384" w:lineRule="auto"/>
        <w:ind w:firstLine="420" w:firstLineChars="200"/>
        <w:rPr>
          <w:rFonts w:ascii="Times New Roman" w:hAnsi="Times New Roman"/>
          <w:color w:val="000000"/>
          <w:szCs w:val="21"/>
        </w:rPr>
      </w:pPr>
      <w:r>
        <w:rPr>
          <w:rFonts w:ascii="Times New Roman" w:hAnsi="Times New Roman"/>
          <w:color w:val="000000"/>
          <w:szCs w:val="21"/>
        </w:rPr>
        <w:t>若被检产品明示的质量要求缺少本细则中检验项目依据的强制性标准要求时，应按照强制性标准要求判定。</w:t>
      </w:r>
    </w:p>
    <w:p>
      <w:pPr>
        <w:snapToGrid w:val="0"/>
        <w:spacing w:line="384" w:lineRule="auto"/>
        <w:ind w:firstLine="420" w:firstLineChars="200"/>
      </w:pPr>
      <w:r>
        <w:rPr>
          <w:rFonts w:ascii="Times New Roman" w:hAnsi="Times New Roman"/>
          <w:color w:val="000000"/>
          <w:szCs w:val="21"/>
        </w:rPr>
        <w:t>若被检产品明示的质量要求缺少本细则中检验项目依据的推荐性标准要求时，该项目不参与判定。</w:t>
      </w:r>
    </w:p>
    <w:sectPr>
      <w:footerReference r:id="rId3" w:type="default"/>
      <w:footerReference r:id="rId4" w:type="even"/>
      <w:pgSz w:w="11906" w:h="16838"/>
      <w:pgMar w:top="1984" w:right="1474" w:bottom="1644" w:left="1474" w:header="851" w:footer="1191" w:gutter="0"/>
      <w:pgNumType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210" w:leftChars="100" w:right="210" w:rightChars="100"/>
      <w:jc w:val="right"/>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10</w:t>
    </w:r>
    <w:r>
      <w:rPr>
        <w:rFonts w:hint="eastAsia" w:ascii="宋体" w:hAnsi="宋体" w:cs="宋体"/>
        <w:sz w:val="28"/>
        <w:szCs w:val="28"/>
      </w:rPr>
      <w:fldChar w:fldCharType="end"/>
    </w:r>
    <w:r>
      <w:rPr>
        <w:rFonts w:hint="eastAsia" w:ascii="宋体" w:hAnsi="宋体" w:cs="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315" w:leftChars="150" w:right="315" w:rightChars="150"/>
      <w:jc w:val="both"/>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9573F0"/>
    <w:multiLevelType w:val="multilevel"/>
    <w:tmpl w:val="3B9573F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Y2RiMGQ4ZTQ4ZjNlYzA4YjAyMDQxMGQ2YmEyY2YifQ=="/>
    <w:docVar w:name="KSO_WPS_MARK_KEY" w:val="c87ad042-d53a-41e4-ae44-241a482c76a4"/>
  </w:docVars>
  <w:rsids>
    <w:rsidRoot w:val="19D45B79"/>
    <w:rsid w:val="000B4922"/>
    <w:rsid w:val="003B4B25"/>
    <w:rsid w:val="00451946"/>
    <w:rsid w:val="004C0DE1"/>
    <w:rsid w:val="00515326"/>
    <w:rsid w:val="00517B99"/>
    <w:rsid w:val="00616633"/>
    <w:rsid w:val="00633154"/>
    <w:rsid w:val="007B1E6D"/>
    <w:rsid w:val="008515B3"/>
    <w:rsid w:val="008B23A2"/>
    <w:rsid w:val="00A92BFA"/>
    <w:rsid w:val="00C50454"/>
    <w:rsid w:val="00C86E45"/>
    <w:rsid w:val="00D20BCC"/>
    <w:rsid w:val="00D66DED"/>
    <w:rsid w:val="00EA4F20"/>
    <w:rsid w:val="00EE0C42"/>
    <w:rsid w:val="00F74B63"/>
    <w:rsid w:val="0BBC265A"/>
    <w:rsid w:val="114F7CB9"/>
    <w:rsid w:val="15CC6AEE"/>
    <w:rsid w:val="1995448C"/>
    <w:rsid w:val="19D45B79"/>
    <w:rsid w:val="29635886"/>
    <w:rsid w:val="30530D06"/>
    <w:rsid w:val="36323D3E"/>
    <w:rsid w:val="36D02F92"/>
    <w:rsid w:val="3B013858"/>
    <w:rsid w:val="3CAC17F9"/>
    <w:rsid w:val="3E33097B"/>
    <w:rsid w:val="40CE36FB"/>
    <w:rsid w:val="41AA42E8"/>
    <w:rsid w:val="51512EBE"/>
    <w:rsid w:val="51DA0F48"/>
    <w:rsid w:val="66FA2F05"/>
    <w:rsid w:val="6B075208"/>
    <w:rsid w:val="6C75239F"/>
    <w:rsid w:val="6CC63004"/>
    <w:rsid w:val="75BF4236"/>
    <w:rsid w:val="7AA40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7"/>
    <w:qFormat/>
    <w:uiPriority w:val="0"/>
    <w:pPr>
      <w:jc w:val="center"/>
      <w:outlineLvl w:val="0"/>
    </w:pPr>
    <w:rPr>
      <w:rFonts w:ascii="方正小标宋简体" w:hAnsi="Times New Roman" w:eastAsia="方正小标宋简体"/>
      <w:kern w:val="44"/>
      <w:sz w:val="38"/>
      <w:szCs w:val="24"/>
    </w:rPr>
  </w:style>
  <w:style w:type="paragraph" w:styleId="4">
    <w:name w:val="heading 2"/>
    <w:basedOn w:val="1"/>
    <w:next w:val="1"/>
    <w:link w:val="18"/>
    <w:qFormat/>
    <w:uiPriority w:val="0"/>
    <w:pPr>
      <w:keepNext/>
      <w:keepLines/>
      <w:spacing w:line="600" w:lineRule="exact"/>
      <w:outlineLvl w:val="1"/>
    </w:pPr>
    <w:rPr>
      <w:rFonts w:ascii="Arial" w:hAnsi="Arial" w:eastAsia="黑体"/>
      <w:sz w:val="30"/>
      <w:szCs w:val="24"/>
    </w:rPr>
  </w:style>
  <w:style w:type="paragraph" w:styleId="5">
    <w:name w:val="heading 3"/>
    <w:basedOn w:val="1"/>
    <w:next w:val="1"/>
    <w:link w:val="19"/>
    <w:qFormat/>
    <w:uiPriority w:val="0"/>
    <w:pPr>
      <w:keepNext/>
      <w:keepLines/>
      <w:spacing w:line="600" w:lineRule="exact"/>
      <w:outlineLvl w:val="2"/>
    </w:pPr>
    <w:rPr>
      <w:rFonts w:ascii="Times New Roman" w:hAnsi="Times New Roman" w:eastAsia="楷体_GB2312"/>
      <w:b/>
      <w:sz w:val="30"/>
      <w:szCs w:val="24"/>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sz w:val="32"/>
      <w:szCs w:val="21"/>
    </w:rPr>
  </w:style>
  <w:style w:type="paragraph" w:styleId="6">
    <w:name w:val="annotation text"/>
    <w:basedOn w:val="1"/>
    <w:unhideWhenUsed/>
    <w:qFormat/>
    <w:uiPriority w:val="99"/>
    <w:pPr>
      <w:jc w:val="left"/>
    </w:pPr>
  </w:style>
  <w:style w:type="paragraph" w:styleId="7">
    <w:name w:val="Date"/>
    <w:basedOn w:val="1"/>
    <w:next w:val="1"/>
    <w:link w:val="26"/>
    <w:uiPriority w:val="0"/>
    <w:pPr>
      <w:spacing w:line="600" w:lineRule="exact"/>
      <w:ind w:left="4253"/>
    </w:pPr>
    <w:rPr>
      <w:rFonts w:ascii="Times New Roman" w:hAnsi="Times New Roman" w:eastAsia="仿宋_GB2312"/>
      <w:sz w:val="30"/>
      <w:szCs w:val="24"/>
    </w:rPr>
  </w:style>
  <w:style w:type="paragraph" w:styleId="8">
    <w:name w:val="Balloon Text"/>
    <w:basedOn w:val="1"/>
    <w:link w:val="29"/>
    <w:uiPriority w:val="0"/>
    <w:rPr>
      <w:sz w:val="18"/>
      <w:szCs w:val="18"/>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11">
    <w:name w:val="Signature"/>
    <w:basedOn w:val="1"/>
    <w:link w:val="27"/>
    <w:qFormat/>
    <w:uiPriority w:val="0"/>
    <w:pPr>
      <w:spacing w:line="600" w:lineRule="exact"/>
      <w:ind w:left="4253"/>
    </w:pPr>
    <w:rPr>
      <w:rFonts w:ascii="Times New Roman" w:hAnsi="Times New Roman" w:eastAsia="仿宋_GB2312"/>
      <w:sz w:val="30"/>
      <w:szCs w:val="24"/>
    </w:rPr>
  </w:style>
  <w:style w:type="paragraph" w:styleId="12">
    <w:name w:val="toc 2"/>
    <w:basedOn w:val="1"/>
    <w:next w:val="1"/>
    <w:qFormat/>
    <w:uiPriority w:val="0"/>
    <w:pPr>
      <w:ind w:left="420" w:leftChars="200"/>
    </w:pPr>
    <w:rPr>
      <w:rFonts w:ascii="Times New Roman" w:hAnsi="Times New Roman" w:eastAsia="仿宋_GB2312"/>
      <w:sz w:val="32"/>
      <w:szCs w:val="24"/>
    </w:r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16">
    <w:name w:val="page number"/>
    <w:basedOn w:val="15"/>
    <w:qFormat/>
    <w:uiPriority w:val="0"/>
  </w:style>
  <w:style w:type="character" w:customStyle="1" w:styleId="17">
    <w:name w:val="标题 1 Char"/>
    <w:basedOn w:val="15"/>
    <w:link w:val="3"/>
    <w:uiPriority w:val="0"/>
    <w:rPr>
      <w:rFonts w:ascii="方正小标宋简体" w:hAnsi="Times New Roman" w:eastAsia="方正小标宋简体" w:cs="Times New Roman"/>
      <w:kern w:val="44"/>
      <w:sz w:val="38"/>
      <w:szCs w:val="24"/>
    </w:rPr>
  </w:style>
  <w:style w:type="character" w:customStyle="1" w:styleId="18">
    <w:name w:val="标题 2 Char"/>
    <w:basedOn w:val="15"/>
    <w:link w:val="4"/>
    <w:uiPriority w:val="0"/>
    <w:rPr>
      <w:rFonts w:ascii="Arial" w:hAnsi="Arial" w:eastAsia="黑体" w:cs="Times New Roman"/>
      <w:kern w:val="2"/>
      <w:sz w:val="30"/>
      <w:szCs w:val="24"/>
    </w:rPr>
  </w:style>
  <w:style w:type="character" w:customStyle="1" w:styleId="19">
    <w:name w:val="标题 3 Char"/>
    <w:basedOn w:val="15"/>
    <w:link w:val="5"/>
    <w:uiPriority w:val="0"/>
    <w:rPr>
      <w:rFonts w:ascii="Times New Roman" w:hAnsi="Times New Roman" w:eastAsia="楷体_GB2312" w:cs="Times New Roman"/>
      <w:b/>
      <w:kern w:val="2"/>
      <w:sz w:val="30"/>
      <w:szCs w:val="24"/>
    </w:rPr>
  </w:style>
  <w:style w:type="paragraph" w:customStyle="1" w:styleId="20">
    <w:name w:val="列项·"/>
    <w:qFormat/>
    <w:uiPriority w:val="99"/>
    <w:pPr>
      <w:tabs>
        <w:tab w:val="left" w:pos="840"/>
      </w:tabs>
      <w:ind w:left="420"/>
      <w:jc w:val="both"/>
    </w:pPr>
    <w:rPr>
      <w:rFonts w:ascii="宋体" w:hAnsi="Calibri" w:eastAsia="宋体" w:cs="宋体"/>
      <w:lang w:val="en-US" w:eastAsia="zh-CN" w:bidi="ar-SA"/>
    </w:rPr>
  </w:style>
  <w:style w:type="paragraph" w:customStyle="1" w:styleId="21">
    <w:name w:val="二级无标题条"/>
    <w:basedOn w:val="1"/>
    <w:qFormat/>
    <w:uiPriority w:val="0"/>
    <w:rPr>
      <w:szCs w:val="21"/>
    </w:rPr>
  </w:style>
  <w:style w:type="paragraph" w:customStyle="1" w:styleId="22">
    <w:name w:val="段"/>
    <w:qFormat/>
    <w:uiPriority w:val="0"/>
    <w:pPr>
      <w:autoSpaceDE w:val="0"/>
      <w:autoSpaceDN w:val="0"/>
      <w:ind w:firstLine="420"/>
      <w:jc w:val="both"/>
    </w:pPr>
    <w:rPr>
      <w:rFonts w:ascii="Calibri" w:hAnsi="Calibri" w:eastAsia="宋体" w:cs="Times New Roman"/>
      <w:color w:val="000000"/>
      <w:lang w:val="en-US" w:eastAsia="zh-CN" w:bidi="ar-SA"/>
    </w:rPr>
  </w:style>
  <w:style w:type="paragraph" w:customStyle="1" w:styleId="23">
    <w:name w:val="二级条标题"/>
    <w:basedOn w:val="1"/>
    <w:next w:val="22"/>
    <w:qFormat/>
    <w:uiPriority w:val="0"/>
    <w:pPr>
      <w:widowControl/>
      <w:tabs>
        <w:tab w:val="left" w:pos="1680"/>
      </w:tabs>
      <w:ind w:left="1680" w:hanging="420"/>
      <w:outlineLvl w:val="3"/>
    </w:pPr>
    <w:rPr>
      <w:rFonts w:ascii="黑体" w:eastAsia="黑体"/>
      <w:kern w:val="0"/>
      <w:szCs w:val="20"/>
    </w:rPr>
  </w:style>
  <w:style w:type="character" w:customStyle="1" w:styleId="24">
    <w:name w:val="页眉 Char"/>
    <w:basedOn w:val="15"/>
    <w:link w:val="10"/>
    <w:uiPriority w:val="0"/>
    <w:rPr>
      <w:rFonts w:ascii="Calibri" w:hAnsi="Calibri" w:eastAsia="宋体" w:cs="Times New Roman"/>
      <w:kern w:val="2"/>
      <w:sz w:val="18"/>
      <w:szCs w:val="18"/>
    </w:rPr>
  </w:style>
  <w:style w:type="character" w:customStyle="1" w:styleId="25">
    <w:name w:val="font111"/>
    <w:basedOn w:val="15"/>
    <w:qFormat/>
    <w:uiPriority w:val="0"/>
    <w:rPr>
      <w:rFonts w:hint="eastAsia" w:ascii="仿宋" w:hAnsi="仿宋" w:eastAsia="仿宋" w:cs="仿宋"/>
      <w:color w:val="000000"/>
      <w:sz w:val="28"/>
      <w:szCs w:val="28"/>
      <w:u w:val="none"/>
    </w:rPr>
  </w:style>
  <w:style w:type="character" w:customStyle="1" w:styleId="26">
    <w:name w:val="日期 Char"/>
    <w:basedOn w:val="15"/>
    <w:link w:val="7"/>
    <w:uiPriority w:val="0"/>
    <w:rPr>
      <w:rFonts w:ascii="Times New Roman" w:hAnsi="Times New Roman" w:eastAsia="仿宋_GB2312" w:cs="Times New Roman"/>
      <w:kern w:val="2"/>
      <w:sz w:val="30"/>
      <w:szCs w:val="24"/>
    </w:rPr>
  </w:style>
  <w:style w:type="character" w:customStyle="1" w:styleId="27">
    <w:name w:val="签名 Char"/>
    <w:basedOn w:val="15"/>
    <w:link w:val="11"/>
    <w:uiPriority w:val="0"/>
    <w:rPr>
      <w:rFonts w:ascii="Times New Roman" w:hAnsi="Times New Roman" w:eastAsia="仿宋_GB2312" w:cs="Times New Roman"/>
      <w:kern w:val="2"/>
      <w:sz w:val="30"/>
      <w:szCs w:val="24"/>
    </w:rPr>
  </w:style>
  <w:style w:type="paragraph" w:customStyle="1" w:styleId="28">
    <w:name w:val="主题词"/>
    <w:basedOn w:val="1"/>
    <w:qFormat/>
    <w:uiPriority w:val="0"/>
    <w:pPr>
      <w:spacing w:after="156" w:afterLines="50"/>
    </w:pPr>
    <w:rPr>
      <w:rFonts w:ascii="Times New Roman" w:hAnsi="Times New Roman" w:eastAsia="方正小标宋简体"/>
      <w:sz w:val="32"/>
      <w:szCs w:val="24"/>
    </w:rPr>
  </w:style>
  <w:style w:type="character" w:customStyle="1" w:styleId="29">
    <w:name w:val="批注框文本 Char"/>
    <w:basedOn w:val="15"/>
    <w:link w:val="8"/>
    <w:uiPriority w:val="0"/>
    <w:rPr>
      <w:rFonts w:ascii="Calibri" w:hAnsi="Calibri" w:eastAsia="宋体" w:cs="Times New Roman"/>
      <w:kern w:val="2"/>
      <w:sz w:val="18"/>
      <w:szCs w:val="18"/>
    </w:rPr>
  </w:style>
  <w:style w:type="paragraph" w:styleId="30">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C01EC-353C-4ADD-83E7-0E21774616CB}">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9</Pages>
  <Words>1110</Words>
  <Characters>6332</Characters>
  <Lines>52</Lines>
  <Paragraphs>14</Paragraphs>
  <TotalTime>56</TotalTime>
  <ScaleCrop>false</ScaleCrop>
  <LinksUpToDate>false</LinksUpToDate>
  <CharactersWithSpaces>7428</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2025-04-02T07:01:00Z</dcterms:created>
  <dc:creator>ss</dc:creator>
  <cp:lastModifiedBy>chalin</cp:lastModifiedBy>
  <dcterms:modified xsi:type="dcterms:W3CDTF">2026-08-12T09:29:02Z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F00B21828B6A417BA041CBA6AF65BBA9_11</vt:lpwstr>
  </property>
  <property fmtid="{D5CDD505-2E9C-101B-9397-08002B2CF9AE}" pid="4" name="KSOTemplateDocerSaveRecord">
    <vt:lpwstr>eyJoZGlkIjoiMTc5MTJkNTEyYTIyMTYyZDczY2E1ZDFiMTY5YjU5ODgiLCJ1c2VySWQiOiI0NzM5NjMxNDkifQ==</vt:lpwstr>
  </property>
</Properties>
</file>