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C2FFF">
      <w:pPr>
        <w:snapToGrid w:val="0"/>
        <w:spacing w:line="360" w:lineRule="auto"/>
        <w:jc w:val="center"/>
        <w:rPr>
          <w:rFonts w:eastAsia="方正小标宋简体"/>
          <w:sz w:val="32"/>
          <w:szCs w:val="32"/>
        </w:rPr>
      </w:pPr>
      <w:r>
        <w:rPr>
          <w:rFonts w:hint="eastAsia" w:eastAsia="方正小标宋简体"/>
          <w:sz w:val="32"/>
          <w:szCs w:val="32"/>
          <w:lang w:val="en-US" w:eastAsia="zh-CN"/>
        </w:rPr>
        <w:t>连州市消防应急灯具</w:t>
      </w:r>
      <w:r>
        <w:rPr>
          <w:rFonts w:eastAsia="方正小标宋简体"/>
          <w:sz w:val="32"/>
          <w:szCs w:val="32"/>
        </w:rPr>
        <w:t>产品质量监督抽查实施细则</w:t>
      </w:r>
    </w:p>
    <w:p w14:paraId="2E6A0144">
      <w:pPr>
        <w:snapToGrid w:val="0"/>
        <w:spacing w:line="440" w:lineRule="exact"/>
        <w:rPr>
          <w:rFonts w:eastAsia="黑体"/>
          <w:szCs w:val="21"/>
        </w:rPr>
      </w:pPr>
      <w:r>
        <w:rPr>
          <w:rFonts w:eastAsia="黑体"/>
          <w:szCs w:val="21"/>
        </w:rPr>
        <w:t>1 抽样方法</w:t>
      </w:r>
    </w:p>
    <w:p w14:paraId="6388661D">
      <w:pPr>
        <w:snapToGrid w:val="0"/>
        <w:spacing w:line="440" w:lineRule="exact"/>
        <w:ind w:firstLine="420" w:firstLineChars="200"/>
        <w:rPr>
          <w:szCs w:val="21"/>
        </w:rPr>
      </w:pPr>
      <w:r>
        <w:rPr>
          <w:szCs w:val="21"/>
        </w:rPr>
        <w:t>以随机抽样的方式在被抽样生产者、销售者的待销产品中抽取。</w:t>
      </w:r>
    </w:p>
    <w:p w14:paraId="5E27CE1C">
      <w:pPr>
        <w:snapToGrid w:val="0"/>
        <w:spacing w:line="440" w:lineRule="exact"/>
        <w:ind w:firstLine="420" w:firstLineChars="200"/>
        <w:rPr>
          <w:rFonts w:hint="eastAsia"/>
          <w:szCs w:val="21"/>
        </w:rPr>
      </w:pPr>
      <w:r>
        <w:rPr>
          <w:szCs w:val="21"/>
        </w:rPr>
        <w:t>随机数一般可使用随机数表等方法产生。</w:t>
      </w:r>
    </w:p>
    <w:p w14:paraId="35E93EE6">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每一抽检批次产品抽取样品</w:t>
      </w:r>
      <w:r>
        <w:rPr>
          <w:rFonts w:hint="eastAsia" w:ascii="Times New Roman" w:hAnsi="Times New Roman" w:eastAsia="宋体" w:cs="Times New Roman"/>
          <w:szCs w:val="21"/>
          <w:lang w:val="en-US" w:eastAsia="zh-CN"/>
        </w:rPr>
        <w:t>4个</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其中2个作为</w:t>
      </w:r>
      <w:r>
        <w:rPr>
          <w:rFonts w:hint="eastAsia" w:ascii="Times New Roman" w:hAnsi="Times New Roman" w:eastAsia="宋体" w:cs="Times New Roman"/>
          <w:szCs w:val="21"/>
        </w:rPr>
        <w:t>检验</w:t>
      </w:r>
      <w:r>
        <w:rPr>
          <w:rFonts w:hint="eastAsia" w:ascii="Times New Roman" w:hAnsi="Times New Roman" w:eastAsia="宋体" w:cs="Times New Roman"/>
          <w:szCs w:val="21"/>
          <w:lang w:val="en-US" w:eastAsia="zh-CN"/>
        </w:rPr>
        <w:t>样品</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2个作为备用样品</w:t>
      </w:r>
      <w:r>
        <w:rPr>
          <w:rFonts w:hint="eastAsia" w:ascii="Times New Roman" w:hAnsi="Times New Roman" w:eastAsia="宋体" w:cs="Times New Roman"/>
          <w:szCs w:val="21"/>
        </w:rPr>
        <w:t>。</w:t>
      </w:r>
    </w:p>
    <w:p w14:paraId="7FA445A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eastAsia"/>
        </w:rPr>
      </w:pPr>
      <w:r>
        <w:rPr>
          <w:rFonts w:hint="eastAsia" w:ascii="宋体" w:hAnsi="宋体" w:eastAsia="宋体" w:cs="宋体"/>
          <w:sz w:val="21"/>
          <w:szCs w:val="21"/>
          <w:highlight w:val="none"/>
        </w:rPr>
        <w:t>注：抽取样品需与相关设备配接后方可正常工作的，配接设备应一并抽回配合检测。（如集中电源集中控制型消防应急灯具需配接应急照明控制器和应急照明集中电源；自带电源集中控制型消防应急灯具需配接应急照明控制器和应急照明配电箱等）。</w:t>
      </w:r>
    </w:p>
    <w:p w14:paraId="064D6B80">
      <w:pPr>
        <w:pStyle w:val="18"/>
        <w:ind w:firstLine="0" w:firstLineChars="0"/>
        <w:rPr>
          <w:rFonts w:hint="eastAsia"/>
          <w:szCs w:val="32"/>
        </w:rPr>
      </w:pPr>
    </w:p>
    <w:p w14:paraId="24C04193">
      <w:pPr>
        <w:snapToGrid w:val="0"/>
        <w:spacing w:line="440" w:lineRule="exact"/>
        <w:rPr>
          <w:szCs w:val="21"/>
          <w:highlight w:val="none"/>
        </w:rPr>
      </w:pPr>
      <w:r>
        <w:rPr>
          <w:rFonts w:eastAsia="黑体"/>
          <w:szCs w:val="21"/>
        </w:rPr>
        <w:t>2 检验依据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590"/>
        <w:gridCol w:w="2389"/>
        <w:gridCol w:w="1689"/>
      </w:tblGrid>
      <w:tr w14:paraId="0FE2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blHeader/>
          <w:jc w:val="center"/>
        </w:trPr>
        <w:tc>
          <w:tcPr>
            <w:tcW w:w="710" w:type="dxa"/>
            <w:noWrap w:val="0"/>
            <w:vAlign w:val="center"/>
          </w:tcPr>
          <w:p w14:paraId="320D88DD">
            <w:pPr>
              <w:snapToGrid w:val="0"/>
              <w:spacing w:line="320" w:lineRule="exact"/>
              <w:jc w:val="center"/>
              <w:rPr>
                <w:szCs w:val="21"/>
                <w:highlight w:val="none"/>
              </w:rPr>
            </w:pPr>
            <w:r>
              <w:rPr>
                <w:szCs w:val="21"/>
                <w:highlight w:val="none"/>
              </w:rPr>
              <w:t>序号</w:t>
            </w:r>
          </w:p>
        </w:tc>
        <w:tc>
          <w:tcPr>
            <w:tcW w:w="3979" w:type="dxa"/>
            <w:gridSpan w:val="2"/>
            <w:noWrap w:val="0"/>
            <w:vAlign w:val="center"/>
          </w:tcPr>
          <w:p w14:paraId="3A96CEB5">
            <w:pPr>
              <w:snapToGrid w:val="0"/>
              <w:spacing w:line="320" w:lineRule="exact"/>
              <w:jc w:val="center"/>
              <w:rPr>
                <w:szCs w:val="21"/>
                <w:highlight w:val="none"/>
              </w:rPr>
            </w:pPr>
            <w:r>
              <w:rPr>
                <w:szCs w:val="21"/>
                <w:highlight w:val="none"/>
              </w:rPr>
              <w:t>检验项目</w:t>
            </w:r>
          </w:p>
        </w:tc>
        <w:tc>
          <w:tcPr>
            <w:tcW w:w="1689" w:type="dxa"/>
            <w:noWrap w:val="0"/>
            <w:vAlign w:val="center"/>
          </w:tcPr>
          <w:p w14:paraId="2084EF38">
            <w:pPr>
              <w:snapToGrid w:val="0"/>
              <w:spacing w:line="320" w:lineRule="exact"/>
              <w:jc w:val="center"/>
              <w:rPr>
                <w:szCs w:val="21"/>
                <w:highlight w:val="none"/>
              </w:rPr>
            </w:pPr>
            <w:r>
              <w:rPr>
                <w:rFonts w:hint="eastAsia"/>
                <w:szCs w:val="21"/>
                <w:highlight w:val="none"/>
              </w:rPr>
              <w:t>检验</w:t>
            </w:r>
            <w:r>
              <w:rPr>
                <w:szCs w:val="21"/>
                <w:highlight w:val="none"/>
              </w:rPr>
              <w:t>方法</w:t>
            </w:r>
          </w:p>
        </w:tc>
      </w:tr>
      <w:tr w14:paraId="4F11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6FE9DE3B">
            <w:pPr>
              <w:jc w:val="center"/>
              <w:rPr>
                <w:bCs/>
                <w:szCs w:val="21"/>
                <w:highlight w:val="none"/>
              </w:rPr>
            </w:pPr>
            <w:r>
              <w:rPr>
                <w:bCs/>
                <w:szCs w:val="21"/>
                <w:highlight w:val="none"/>
              </w:rPr>
              <w:t>1</w:t>
            </w:r>
          </w:p>
        </w:tc>
        <w:tc>
          <w:tcPr>
            <w:tcW w:w="3979" w:type="dxa"/>
            <w:gridSpan w:val="2"/>
            <w:noWrap w:val="0"/>
            <w:vAlign w:val="center"/>
          </w:tcPr>
          <w:p w14:paraId="40B535BD">
            <w:pPr>
              <w:adjustRightInd w:val="0"/>
              <w:snapToGrid w:val="0"/>
              <w:spacing w:line="360" w:lineRule="auto"/>
              <w:jc w:val="center"/>
              <w:rPr>
                <w:szCs w:val="21"/>
                <w:highlight w:val="none"/>
              </w:rPr>
            </w:pPr>
            <w:r>
              <w:rPr>
                <w:kern w:val="0"/>
                <w:szCs w:val="21"/>
                <w:highlight w:val="none"/>
              </w:rPr>
              <w:t>结构</w:t>
            </w:r>
          </w:p>
        </w:tc>
        <w:tc>
          <w:tcPr>
            <w:tcW w:w="1689" w:type="dxa"/>
            <w:noWrap w:val="0"/>
            <w:vAlign w:val="center"/>
          </w:tcPr>
          <w:p w14:paraId="58671623">
            <w:pPr>
              <w:jc w:val="center"/>
              <w:rPr>
                <w:rFonts w:hint="eastAsia" w:eastAsia="宋体"/>
                <w:szCs w:val="21"/>
                <w:highlight w:val="none"/>
                <w:lang w:eastAsia="zh-CN"/>
              </w:rPr>
            </w:pPr>
            <w:r>
              <w:rPr>
                <w:rFonts w:hint="eastAsia"/>
                <w:szCs w:val="21"/>
                <w:highlight w:val="none"/>
                <w:lang w:eastAsia="zh-CN"/>
              </w:rPr>
              <w:t>GB 17945-2024</w:t>
            </w:r>
          </w:p>
        </w:tc>
      </w:tr>
      <w:tr w14:paraId="15BE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70D93DEB">
            <w:pPr>
              <w:jc w:val="center"/>
              <w:rPr>
                <w:bCs/>
                <w:szCs w:val="21"/>
                <w:highlight w:val="none"/>
              </w:rPr>
            </w:pPr>
            <w:r>
              <w:rPr>
                <w:bCs/>
                <w:szCs w:val="21"/>
                <w:highlight w:val="none"/>
              </w:rPr>
              <w:t>2</w:t>
            </w:r>
          </w:p>
        </w:tc>
        <w:tc>
          <w:tcPr>
            <w:tcW w:w="3979" w:type="dxa"/>
            <w:gridSpan w:val="2"/>
            <w:noWrap w:val="0"/>
            <w:vAlign w:val="center"/>
          </w:tcPr>
          <w:p w14:paraId="100868A9">
            <w:pPr>
              <w:adjustRightInd w:val="0"/>
              <w:snapToGrid w:val="0"/>
              <w:spacing w:line="360" w:lineRule="auto"/>
              <w:jc w:val="center"/>
              <w:rPr>
                <w:szCs w:val="21"/>
                <w:highlight w:val="none"/>
              </w:rPr>
            </w:pPr>
            <w:r>
              <w:rPr>
                <w:kern w:val="0"/>
                <w:szCs w:val="21"/>
                <w:highlight w:val="none"/>
              </w:rPr>
              <w:t>爬电距离和电气间隙</w:t>
            </w:r>
          </w:p>
        </w:tc>
        <w:tc>
          <w:tcPr>
            <w:tcW w:w="1689" w:type="dxa"/>
            <w:noWrap w:val="0"/>
            <w:vAlign w:val="center"/>
          </w:tcPr>
          <w:p w14:paraId="04856993">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66F2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restart"/>
            <w:noWrap w:val="0"/>
            <w:vAlign w:val="center"/>
          </w:tcPr>
          <w:p w14:paraId="52EEA3E9">
            <w:pPr>
              <w:jc w:val="center"/>
              <w:rPr>
                <w:bCs/>
                <w:szCs w:val="21"/>
                <w:highlight w:val="none"/>
              </w:rPr>
            </w:pPr>
            <w:r>
              <w:rPr>
                <w:bCs/>
                <w:szCs w:val="21"/>
                <w:highlight w:val="none"/>
              </w:rPr>
              <w:t>3</w:t>
            </w:r>
          </w:p>
        </w:tc>
        <w:tc>
          <w:tcPr>
            <w:tcW w:w="1590" w:type="dxa"/>
            <w:vMerge w:val="restart"/>
            <w:noWrap w:val="0"/>
            <w:vAlign w:val="center"/>
          </w:tcPr>
          <w:p w14:paraId="26325B9F">
            <w:pPr>
              <w:adjustRightInd w:val="0"/>
              <w:snapToGrid w:val="0"/>
              <w:spacing w:line="360" w:lineRule="auto"/>
              <w:jc w:val="center"/>
              <w:rPr>
                <w:szCs w:val="21"/>
                <w:highlight w:val="none"/>
              </w:rPr>
            </w:pPr>
            <w:r>
              <w:rPr>
                <w:kern w:val="0"/>
                <w:szCs w:val="21"/>
                <w:highlight w:val="none"/>
              </w:rPr>
              <w:t>基本功能试验</w:t>
            </w:r>
          </w:p>
        </w:tc>
        <w:tc>
          <w:tcPr>
            <w:tcW w:w="2389" w:type="dxa"/>
            <w:noWrap w:val="0"/>
            <w:vAlign w:val="center"/>
          </w:tcPr>
          <w:p w14:paraId="0E2E98E5">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光源控制功能检查</w:t>
            </w:r>
          </w:p>
        </w:tc>
        <w:tc>
          <w:tcPr>
            <w:tcW w:w="1689" w:type="dxa"/>
            <w:vMerge w:val="restart"/>
            <w:noWrap w:val="0"/>
            <w:vAlign w:val="center"/>
          </w:tcPr>
          <w:p w14:paraId="2857D841">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684F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2E126FA9">
            <w:pPr>
              <w:jc w:val="center"/>
              <w:rPr>
                <w:bCs/>
                <w:szCs w:val="21"/>
                <w:highlight w:val="none"/>
              </w:rPr>
            </w:pPr>
          </w:p>
        </w:tc>
        <w:tc>
          <w:tcPr>
            <w:tcW w:w="1590" w:type="dxa"/>
            <w:vMerge w:val="continue"/>
            <w:tcBorders/>
            <w:noWrap w:val="0"/>
            <w:vAlign w:val="center"/>
          </w:tcPr>
          <w:p w14:paraId="4B4FF5CA">
            <w:pPr>
              <w:adjustRightInd w:val="0"/>
              <w:snapToGrid w:val="0"/>
              <w:spacing w:line="360" w:lineRule="auto"/>
              <w:jc w:val="center"/>
              <w:rPr>
                <w:kern w:val="0"/>
                <w:szCs w:val="21"/>
                <w:highlight w:val="none"/>
              </w:rPr>
            </w:pPr>
          </w:p>
        </w:tc>
        <w:tc>
          <w:tcPr>
            <w:tcW w:w="2389" w:type="dxa"/>
            <w:noWrap w:val="0"/>
            <w:vAlign w:val="center"/>
          </w:tcPr>
          <w:p w14:paraId="2454BF20">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照明灯具</w:t>
            </w:r>
          </w:p>
        </w:tc>
        <w:tc>
          <w:tcPr>
            <w:tcW w:w="1689" w:type="dxa"/>
            <w:vMerge w:val="continue"/>
            <w:tcBorders/>
            <w:noWrap w:val="0"/>
            <w:vAlign w:val="center"/>
          </w:tcPr>
          <w:p w14:paraId="35468013">
            <w:pPr>
              <w:spacing w:line="320" w:lineRule="exact"/>
              <w:jc w:val="center"/>
              <w:rPr>
                <w:rFonts w:hint="eastAsia"/>
                <w:szCs w:val="21"/>
                <w:highlight w:val="none"/>
                <w:lang w:eastAsia="zh-CN"/>
              </w:rPr>
            </w:pPr>
          </w:p>
        </w:tc>
      </w:tr>
      <w:tr w14:paraId="67A1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609C5768">
            <w:pPr>
              <w:jc w:val="center"/>
              <w:rPr>
                <w:bCs/>
                <w:szCs w:val="21"/>
                <w:highlight w:val="none"/>
              </w:rPr>
            </w:pPr>
          </w:p>
        </w:tc>
        <w:tc>
          <w:tcPr>
            <w:tcW w:w="1590" w:type="dxa"/>
            <w:vMerge w:val="continue"/>
            <w:tcBorders/>
            <w:noWrap w:val="0"/>
            <w:vAlign w:val="center"/>
          </w:tcPr>
          <w:p w14:paraId="4BE69BA4">
            <w:pPr>
              <w:adjustRightInd w:val="0"/>
              <w:snapToGrid w:val="0"/>
              <w:spacing w:line="360" w:lineRule="auto"/>
              <w:jc w:val="center"/>
              <w:rPr>
                <w:kern w:val="0"/>
                <w:szCs w:val="21"/>
                <w:highlight w:val="none"/>
              </w:rPr>
            </w:pPr>
          </w:p>
        </w:tc>
        <w:tc>
          <w:tcPr>
            <w:tcW w:w="2389" w:type="dxa"/>
            <w:noWrap w:val="0"/>
            <w:vAlign w:val="center"/>
          </w:tcPr>
          <w:p w14:paraId="3291496D">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标志灯具</w:t>
            </w:r>
          </w:p>
        </w:tc>
        <w:tc>
          <w:tcPr>
            <w:tcW w:w="1689" w:type="dxa"/>
            <w:vMerge w:val="continue"/>
            <w:tcBorders/>
            <w:noWrap w:val="0"/>
            <w:vAlign w:val="center"/>
          </w:tcPr>
          <w:p w14:paraId="2E4A29F7">
            <w:pPr>
              <w:spacing w:line="320" w:lineRule="exact"/>
              <w:jc w:val="center"/>
              <w:rPr>
                <w:rFonts w:hint="eastAsia"/>
                <w:szCs w:val="21"/>
                <w:highlight w:val="none"/>
                <w:lang w:eastAsia="zh-CN"/>
              </w:rPr>
            </w:pPr>
          </w:p>
        </w:tc>
      </w:tr>
      <w:tr w14:paraId="6574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612E26C3">
            <w:pPr>
              <w:jc w:val="center"/>
              <w:rPr>
                <w:bCs/>
                <w:szCs w:val="21"/>
                <w:highlight w:val="none"/>
              </w:rPr>
            </w:pPr>
          </w:p>
        </w:tc>
        <w:tc>
          <w:tcPr>
            <w:tcW w:w="1590" w:type="dxa"/>
            <w:vMerge w:val="continue"/>
            <w:tcBorders/>
            <w:noWrap w:val="0"/>
            <w:vAlign w:val="center"/>
          </w:tcPr>
          <w:p w14:paraId="0ED0BF9E">
            <w:pPr>
              <w:adjustRightInd w:val="0"/>
              <w:snapToGrid w:val="0"/>
              <w:spacing w:line="360" w:lineRule="auto"/>
              <w:jc w:val="center"/>
              <w:rPr>
                <w:kern w:val="0"/>
                <w:szCs w:val="21"/>
                <w:highlight w:val="none"/>
              </w:rPr>
            </w:pPr>
          </w:p>
        </w:tc>
        <w:tc>
          <w:tcPr>
            <w:tcW w:w="2389" w:type="dxa"/>
            <w:noWrap w:val="0"/>
            <w:vAlign w:val="center"/>
          </w:tcPr>
          <w:p w14:paraId="5C753581">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光源工作状态保持功能检查</w:t>
            </w:r>
          </w:p>
        </w:tc>
        <w:tc>
          <w:tcPr>
            <w:tcW w:w="1689" w:type="dxa"/>
            <w:vMerge w:val="continue"/>
            <w:tcBorders/>
            <w:noWrap w:val="0"/>
            <w:vAlign w:val="center"/>
          </w:tcPr>
          <w:p w14:paraId="4412D61C">
            <w:pPr>
              <w:spacing w:line="320" w:lineRule="exact"/>
              <w:jc w:val="center"/>
              <w:rPr>
                <w:rFonts w:hint="eastAsia"/>
                <w:szCs w:val="21"/>
                <w:highlight w:val="none"/>
                <w:lang w:eastAsia="zh-CN"/>
              </w:rPr>
            </w:pPr>
          </w:p>
        </w:tc>
      </w:tr>
      <w:tr w14:paraId="4785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1FDA49A3">
            <w:pPr>
              <w:jc w:val="center"/>
              <w:rPr>
                <w:bCs/>
                <w:szCs w:val="21"/>
                <w:highlight w:val="none"/>
              </w:rPr>
            </w:pPr>
          </w:p>
        </w:tc>
        <w:tc>
          <w:tcPr>
            <w:tcW w:w="1590" w:type="dxa"/>
            <w:vMerge w:val="continue"/>
            <w:tcBorders/>
            <w:noWrap w:val="0"/>
            <w:vAlign w:val="center"/>
          </w:tcPr>
          <w:p w14:paraId="5DC2E7B4">
            <w:pPr>
              <w:adjustRightInd w:val="0"/>
              <w:snapToGrid w:val="0"/>
              <w:spacing w:line="360" w:lineRule="auto"/>
              <w:jc w:val="center"/>
              <w:rPr>
                <w:kern w:val="0"/>
                <w:szCs w:val="21"/>
                <w:highlight w:val="none"/>
              </w:rPr>
            </w:pPr>
          </w:p>
        </w:tc>
        <w:tc>
          <w:tcPr>
            <w:tcW w:w="2389" w:type="dxa"/>
            <w:noWrap w:val="0"/>
            <w:vAlign w:val="center"/>
          </w:tcPr>
          <w:p w14:paraId="5F9CA25E">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最小初装持续应急工作时间检查</w:t>
            </w:r>
          </w:p>
        </w:tc>
        <w:tc>
          <w:tcPr>
            <w:tcW w:w="1689" w:type="dxa"/>
            <w:vMerge w:val="continue"/>
            <w:tcBorders/>
            <w:noWrap w:val="0"/>
            <w:vAlign w:val="center"/>
          </w:tcPr>
          <w:p w14:paraId="54241BBA">
            <w:pPr>
              <w:spacing w:line="320" w:lineRule="exact"/>
              <w:jc w:val="center"/>
              <w:rPr>
                <w:rFonts w:hint="eastAsia"/>
                <w:szCs w:val="21"/>
                <w:highlight w:val="none"/>
                <w:lang w:eastAsia="zh-CN"/>
              </w:rPr>
            </w:pPr>
          </w:p>
        </w:tc>
      </w:tr>
      <w:tr w14:paraId="4036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7182C600">
            <w:pPr>
              <w:jc w:val="center"/>
              <w:rPr>
                <w:bCs/>
                <w:szCs w:val="21"/>
                <w:highlight w:val="none"/>
              </w:rPr>
            </w:pPr>
          </w:p>
        </w:tc>
        <w:tc>
          <w:tcPr>
            <w:tcW w:w="1590" w:type="dxa"/>
            <w:vMerge w:val="continue"/>
            <w:tcBorders/>
            <w:noWrap w:val="0"/>
            <w:vAlign w:val="center"/>
          </w:tcPr>
          <w:p w14:paraId="5470949F">
            <w:pPr>
              <w:adjustRightInd w:val="0"/>
              <w:snapToGrid w:val="0"/>
              <w:spacing w:line="360" w:lineRule="auto"/>
              <w:jc w:val="center"/>
              <w:rPr>
                <w:kern w:val="0"/>
                <w:szCs w:val="21"/>
                <w:highlight w:val="none"/>
              </w:rPr>
            </w:pPr>
          </w:p>
        </w:tc>
        <w:tc>
          <w:tcPr>
            <w:tcW w:w="2389" w:type="dxa"/>
            <w:noWrap w:val="0"/>
            <w:vAlign w:val="center"/>
          </w:tcPr>
          <w:p w14:paraId="4A894148">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自复式试验和控制关断应急工作输出功能检查</w:t>
            </w:r>
          </w:p>
        </w:tc>
        <w:tc>
          <w:tcPr>
            <w:tcW w:w="1689" w:type="dxa"/>
            <w:vMerge w:val="continue"/>
            <w:tcBorders/>
            <w:noWrap w:val="0"/>
            <w:vAlign w:val="center"/>
          </w:tcPr>
          <w:p w14:paraId="5E3F140D">
            <w:pPr>
              <w:spacing w:line="320" w:lineRule="exact"/>
              <w:jc w:val="center"/>
              <w:rPr>
                <w:rFonts w:hint="eastAsia"/>
                <w:szCs w:val="21"/>
                <w:highlight w:val="none"/>
                <w:lang w:eastAsia="zh-CN"/>
              </w:rPr>
            </w:pPr>
          </w:p>
        </w:tc>
      </w:tr>
      <w:tr w14:paraId="6441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vMerge w:val="continue"/>
            <w:tcBorders/>
            <w:noWrap w:val="0"/>
            <w:vAlign w:val="center"/>
          </w:tcPr>
          <w:p w14:paraId="46773358">
            <w:pPr>
              <w:jc w:val="center"/>
              <w:rPr>
                <w:bCs/>
                <w:szCs w:val="21"/>
                <w:highlight w:val="none"/>
              </w:rPr>
            </w:pPr>
          </w:p>
        </w:tc>
        <w:tc>
          <w:tcPr>
            <w:tcW w:w="1590" w:type="dxa"/>
            <w:vMerge w:val="continue"/>
            <w:tcBorders/>
            <w:noWrap w:val="0"/>
            <w:vAlign w:val="center"/>
          </w:tcPr>
          <w:p w14:paraId="74DE8B63">
            <w:pPr>
              <w:adjustRightInd w:val="0"/>
              <w:snapToGrid w:val="0"/>
              <w:spacing w:line="360" w:lineRule="auto"/>
              <w:jc w:val="center"/>
              <w:rPr>
                <w:kern w:val="0"/>
                <w:szCs w:val="21"/>
                <w:highlight w:val="none"/>
              </w:rPr>
            </w:pPr>
          </w:p>
        </w:tc>
        <w:tc>
          <w:tcPr>
            <w:tcW w:w="2389" w:type="dxa"/>
            <w:noWrap w:val="0"/>
            <w:vAlign w:val="center"/>
          </w:tcPr>
          <w:p w14:paraId="6C25071D">
            <w:pPr>
              <w:keepNext w:val="0"/>
              <w:keepLines w:val="0"/>
              <w:pageBreakBefore w:val="0"/>
              <w:kinsoku/>
              <w:wordWrap/>
              <w:overflowPunct/>
              <w:topLinePunct w:val="0"/>
              <w:bidi w:val="0"/>
              <w:adjustRightInd/>
              <w:snapToGrid/>
              <w:spacing w:line="560" w:lineRule="exact"/>
              <w:jc w:val="center"/>
              <w:textAlignment w:val="auto"/>
              <w:rPr>
                <w:kern w:val="0"/>
                <w:szCs w:val="21"/>
                <w:highlight w:val="none"/>
              </w:rPr>
            </w:pPr>
            <w:r>
              <w:rPr>
                <w:rFonts w:hint="eastAsia" w:ascii="宋体" w:hAnsi="宋体" w:eastAsia="宋体" w:cs="宋体"/>
                <w:color w:val="000000"/>
                <w:sz w:val="21"/>
                <w:szCs w:val="21"/>
                <w:highlight w:val="none"/>
                <w:lang w:val="en-US" w:eastAsia="zh-CN"/>
              </w:rPr>
              <w:t>标志复合灯具</w:t>
            </w:r>
          </w:p>
        </w:tc>
        <w:tc>
          <w:tcPr>
            <w:tcW w:w="1689" w:type="dxa"/>
            <w:vMerge w:val="continue"/>
            <w:tcBorders/>
            <w:noWrap w:val="0"/>
            <w:vAlign w:val="center"/>
          </w:tcPr>
          <w:p w14:paraId="0818FD30">
            <w:pPr>
              <w:spacing w:line="320" w:lineRule="exact"/>
              <w:jc w:val="center"/>
              <w:rPr>
                <w:rFonts w:hint="eastAsia"/>
                <w:szCs w:val="21"/>
                <w:highlight w:val="none"/>
                <w:lang w:eastAsia="zh-CN"/>
              </w:rPr>
            </w:pPr>
          </w:p>
        </w:tc>
      </w:tr>
      <w:tr w14:paraId="0674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37DF5DE0">
            <w:pPr>
              <w:jc w:val="center"/>
              <w:rPr>
                <w:bCs/>
                <w:szCs w:val="21"/>
                <w:highlight w:val="none"/>
              </w:rPr>
            </w:pPr>
            <w:r>
              <w:rPr>
                <w:bCs/>
                <w:szCs w:val="21"/>
                <w:highlight w:val="none"/>
              </w:rPr>
              <w:t>4</w:t>
            </w:r>
          </w:p>
        </w:tc>
        <w:tc>
          <w:tcPr>
            <w:tcW w:w="3979" w:type="dxa"/>
            <w:gridSpan w:val="2"/>
            <w:noWrap w:val="0"/>
            <w:vAlign w:val="center"/>
          </w:tcPr>
          <w:p w14:paraId="017C9CE7">
            <w:pPr>
              <w:adjustRightInd w:val="0"/>
              <w:snapToGrid w:val="0"/>
              <w:spacing w:line="360" w:lineRule="auto"/>
              <w:jc w:val="center"/>
              <w:rPr>
                <w:szCs w:val="21"/>
                <w:highlight w:val="none"/>
              </w:rPr>
            </w:pPr>
            <w:r>
              <w:rPr>
                <w:kern w:val="0"/>
                <w:szCs w:val="21"/>
                <w:highlight w:val="none"/>
              </w:rPr>
              <w:t>重复转换试验</w:t>
            </w:r>
          </w:p>
        </w:tc>
        <w:tc>
          <w:tcPr>
            <w:tcW w:w="1689" w:type="dxa"/>
            <w:noWrap w:val="0"/>
            <w:vAlign w:val="center"/>
          </w:tcPr>
          <w:p w14:paraId="4B860FA6">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5DC0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44601D3A">
            <w:pPr>
              <w:jc w:val="center"/>
              <w:rPr>
                <w:bCs/>
                <w:szCs w:val="21"/>
                <w:highlight w:val="none"/>
              </w:rPr>
            </w:pPr>
            <w:r>
              <w:rPr>
                <w:bCs/>
                <w:szCs w:val="21"/>
                <w:highlight w:val="none"/>
              </w:rPr>
              <w:t>5</w:t>
            </w:r>
          </w:p>
        </w:tc>
        <w:tc>
          <w:tcPr>
            <w:tcW w:w="3979" w:type="dxa"/>
            <w:gridSpan w:val="2"/>
            <w:noWrap w:val="0"/>
            <w:vAlign w:val="center"/>
          </w:tcPr>
          <w:p w14:paraId="5B173253">
            <w:pPr>
              <w:adjustRightInd w:val="0"/>
              <w:snapToGrid w:val="0"/>
              <w:spacing w:line="360" w:lineRule="auto"/>
              <w:jc w:val="center"/>
              <w:rPr>
                <w:szCs w:val="21"/>
                <w:highlight w:val="none"/>
              </w:rPr>
            </w:pPr>
            <w:r>
              <w:rPr>
                <w:kern w:val="0"/>
                <w:szCs w:val="21"/>
                <w:highlight w:val="none"/>
              </w:rPr>
              <w:t>电压波动试验</w:t>
            </w:r>
          </w:p>
        </w:tc>
        <w:tc>
          <w:tcPr>
            <w:tcW w:w="1689" w:type="dxa"/>
            <w:noWrap w:val="0"/>
            <w:vAlign w:val="center"/>
          </w:tcPr>
          <w:p w14:paraId="3B983D0E">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59F9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68816B48">
            <w:pPr>
              <w:jc w:val="center"/>
              <w:rPr>
                <w:bCs/>
                <w:szCs w:val="21"/>
                <w:highlight w:val="none"/>
              </w:rPr>
            </w:pPr>
            <w:r>
              <w:rPr>
                <w:rFonts w:hint="eastAsia"/>
                <w:bCs/>
                <w:szCs w:val="21"/>
                <w:highlight w:val="none"/>
              </w:rPr>
              <w:t>6</w:t>
            </w:r>
          </w:p>
        </w:tc>
        <w:tc>
          <w:tcPr>
            <w:tcW w:w="3979" w:type="dxa"/>
            <w:gridSpan w:val="2"/>
            <w:noWrap w:val="0"/>
            <w:vAlign w:val="center"/>
          </w:tcPr>
          <w:p w14:paraId="6439EBDE">
            <w:pPr>
              <w:adjustRightInd w:val="0"/>
              <w:snapToGrid w:val="0"/>
              <w:spacing w:line="360" w:lineRule="auto"/>
              <w:jc w:val="center"/>
              <w:rPr>
                <w:szCs w:val="21"/>
                <w:highlight w:val="none"/>
              </w:rPr>
            </w:pPr>
            <w:r>
              <w:rPr>
                <w:kern w:val="0"/>
                <w:szCs w:val="21"/>
                <w:highlight w:val="none"/>
              </w:rPr>
              <w:t>绝缘电阻试验</w:t>
            </w:r>
          </w:p>
        </w:tc>
        <w:tc>
          <w:tcPr>
            <w:tcW w:w="1689" w:type="dxa"/>
            <w:noWrap w:val="0"/>
            <w:vAlign w:val="center"/>
          </w:tcPr>
          <w:p w14:paraId="05C6E1C8">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44E8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2BEFA5E2">
            <w:pPr>
              <w:jc w:val="center"/>
              <w:rPr>
                <w:bCs/>
                <w:szCs w:val="21"/>
                <w:highlight w:val="none"/>
              </w:rPr>
            </w:pPr>
            <w:r>
              <w:rPr>
                <w:rFonts w:hint="eastAsia"/>
                <w:bCs/>
                <w:szCs w:val="21"/>
                <w:highlight w:val="none"/>
              </w:rPr>
              <w:t>7</w:t>
            </w:r>
          </w:p>
        </w:tc>
        <w:tc>
          <w:tcPr>
            <w:tcW w:w="3979" w:type="dxa"/>
            <w:gridSpan w:val="2"/>
            <w:noWrap w:val="0"/>
            <w:vAlign w:val="center"/>
          </w:tcPr>
          <w:p w14:paraId="28FF535C">
            <w:pPr>
              <w:adjustRightInd w:val="0"/>
              <w:snapToGrid w:val="0"/>
              <w:spacing w:line="360" w:lineRule="auto"/>
              <w:jc w:val="center"/>
              <w:rPr>
                <w:szCs w:val="21"/>
                <w:highlight w:val="none"/>
              </w:rPr>
            </w:pPr>
            <w:r>
              <w:rPr>
                <w:kern w:val="0"/>
                <w:szCs w:val="21"/>
                <w:highlight w:val="none"/>
              </w:rPr>
              <w:t>接地</w:t>
            </w:r>
            <w:r>
              <w:rPr>
                <w:rFonts w:hint="eastAsia"/>
                <w:kern w:val="0"/>
                <w:szCs w:val="21"/>
                <w:highlight w:val="none"/>
              </w:rPr>
              <w:t>电阻试验</w:t>
            </w:r>
          </w:p>
        </w:tc>
        <w:tc>
          <w:tcPr>
            <w:tcW w:w="1689" w:type="dxa"/>
            <w:noWrap w:val="0"/>
            <w:vAlign w:val="center"/>
          </w:tcPr>
          <w:p w14:paraId="13BADE7C">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1438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2AEEE03F">
            <w:pPr>
              <w:jc w:val="center"/>
              <w:rPr>
                <w:bCs/>
                <w:szCs w:val="21"/>
                <w:highlight w:val="none"/>
              </w:rPr>
            </w:pPr>
            <w:r>
              <w:rPr>
                <w:rFonts w:hint="eastAsia"/>
                <w:bCs/>
                <w:szCs w:val="21"/>
                <w:highlight w:val="none"/>
              </w:rPr>
              <w:t>8</w:t>
            </w:r>
          </w:p>
        </w:tc>
        <w:tc>
          <w:tcPr>
            <w:tcW w:w="3979" w:type="dxa"/>
            <w:gridSpan w:val="2"/>
            <w:noWrap w:val="0"/>
            <w:vAlign w:val="center"/>
          </w:tcPr>
          <w:p w14:paraId="6E8371FD">
            <w:pPr>
              <w:adjustRightInd w:val="0"/>
              <w:snapToGrid w:val="0"/>
              <w:spacing w:line="360" w:lineRule="auto"/>
              <w:jc w:val="center"/>
              <w:rPr>
                <w:szCs w:val="21"/>
                <w:highlight w:val="none"/>
              </w:rPr>
            </w:pPr>
            <w:r>
              <w:rPr>
                <w:kern w:val="0"/>
                <w:szCs w:val="21"/>
                <w:highlight w:val="none"/>
              </w:rPr>
              <w:t>电气强度试验</w:t>
            </w:r>
          </w:p>
        </w:tc>
        <w:tc>
          <w:tcPr>
            <w:tcW w:w="1689" w:type="dxa"/>
            <w:noWrap w:val="0"/>
            <w:vAlign w:val="center"/>
          </w:tcPr>
          <w:p w14:paraId="0DD3FB58">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2928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1CE32CE2">
            <w:pPr>
              <w:jc w:val="center"/>
              <w:rPr>
                <w:bCs/>
                <w:szCs w:val="21"/>
                <w:highlight w:val="none"/>
              </w:rPr>
            </w:pPr>
            <w:r>
              <w:rPr>
                <w:rFonts w:hint="eastAsia"/>
                <w:bCs/>
                <w:szCs w:val="21"/>
                <w:highlight w:val="none"/>
              </w:rPr>
              <w:t>9</w:t>
            </w:r>
          </w:p>
        </w:tc>
        <w:tc>
          <w:tcPr>
            <w:tcW w:w="3979" w:type="dxa"/>
            <w:gridSpan w:val="2"/>
            <w:noWrap w:val="0"/>
            <w:vAlign w:val="center"/>
          </w:tcPr>
          <w:p w14:paraId="038DD549">
            <w:pPr>
              <w:adjustRightInd w:val="0"/>
              <w:snapToGrid w:val="0"/>
              <w:spacing w:line="360" w:lineRule="auto"/>
              <w:jc w:val="center"/>
              <w:rPr>
                <w:szCs w:val="21"/>
                <w:highlight w:val="none"/>
              </w:rPr>
            </w:pPr>
            <w:r>
              <w:rPr>
                <w:rFonts w:hint="eastAsia"/>
                <w:kern w:val="0"/>
                <w:szCs w:val="21"/>
                <w:highlight w:val="none"/>
              </w:rPr>
              <w:t>恒定湿热（运行）试验</w:t>
            </w:r>
          </w:p>
        </w:tc>
        <w:tc>
          <w:tcPr>
            <w:tcW w:w="1689" w:type="dxa"/>
            <w:noWrap w:val="0"/>
            <w:vAlign w:val="center"/>
          </w:tcPr>
          <w:p w14:paraId="4B69179F">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r w14:paraId="24BC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10" w:type="dxa"/>
            <w:noWrap w:val="0"/>
            <w:vAlign w:val="center"/>
          </w:tcPr>
          <w:p w14:paraId="3A5A85AF">
            <w:pPr>
              <w:jc w:val="center"/>
              <w:rPr>
                <w:rFonts w:hint="eastAsia"/>
                <w:bCs/>
                <w:szCs w:val="21"/>
                <w:highlight w:val="none"/>
              </w:rPr>
            </w:pPr>
            <w:r>
              <w:rPr>
                <w:rFonts w:hint="eastAsia"/>
                <w:bCs/>
                <w:szCs w:val="21"/>
                <w:highlight w:val="none"/>
              </w:rPr>
              <w:t>10</w:t>
            </w:r>
          </w:p>
        </w:tc>
        <w:tc>
          <w:tcPr>
            <w:tcW w:w="3979" w:type="dxa"/>
            <w:gridSpan w:val="2"/>
            <w:noWrap w:val="0"/>
            <w:vAlign w:val="center"/>
          </w:tcPr>
          <w:p w14:paraId="0846AECD">
            <w:pPr>
              <w:adjustRightInd w:val="0"/>
              <w:snapToGrid w:val="0"/>
              <w:spacing w:line="360" w:lineRule="auto"/>
              <w:jc w:val="center"/>
              <w:rPr>
                <w:szCs w:val="21"/>
                <w:highlight w:val="none"/>
              </w:rPr>
            </w:pPr>
            <w:r>
              <w:rPr>
                <w:kern w:val="0"/>
                <w:szCs w:val="21"/>
                <w:highlight w:val="none"/>
              </w:rPr>
              <w:t>外壳防护等级</w:t>
            </w:r>
          </w:p>
        </w:tc>
        <w:tc>
          <w:tcPr>
            <w:tcW w:w="1689" w:type="dxa"/>
            <w:noWrap w:val="0"/>
            <w:vAlign w:val="center"/>
          </w:tcPr>
          <w:p w14:paraId="12D341B8">
            <w:pPr>
              <w:spacing w:line="320" w:lineRule="exact"/>
              <w:jc w:val="center"/>
              <w:rPr>
                <w:rFonts w:hint="eastAsia" w:eastAsia="宋体"/>
                <w:szCs w:val="21"/>
                <w:highlight w:val="none"/>
                <w:lang w:eastAsia="zh-CN"/>
              </w:rPr>
            </w:pPr>
            <w:r>
              <w:rPr>
                <w:rFonts w:hint="eastAsia"/>
                <w:szCs w:val="21"/>
                <w:highlight w:val="none"/>
                <w:lang w:eastAsia="zh-CN"/>
              </w:rPr>
              <w:t>GB 17945-2024</w:t>
            </w:r>
          </w:p>
        </w:tc>
      </w:tr>
    </w:tbl>
    <w:p w14:paraId="5A33BF47">
      <w:pPr>
        <w:snapToGrid w:val="0"/>
        <w:spacing w:line="440" w:lineRule="exact"/>
        <w:ind w:firstLine="420" w:firstLineChars="200"/>
        <w:rPr>
          <w:szCs w:val="21"/>
          <w:highlight w:val="none"/>
        </w:rPr>
      </w:pPr>
      <w:r>
        <w:rPr>
          <w:szCs w:val="21"/>
          <w:highlight w:val="none"/>
        </w:rPr>
        <w:t>执行企业标准、团体标准、地方标准的产品，检验项目参照上述内容执行。</w:t>
      </w:r>
    </w:p>
    <w:p w14:paraId="1994CD09">
      <w:pPr>
        <w:snapToGrid w:val="0"/>
        <w:spacing w:line="440" w:lineRule="exact"/>
        <w:ind w:firstLine="420" w:firstLineChars="200"/>
        <w:rPr>
          <w:szCs w:val="21"/>
          <w:highlight w:val="none"/>
        </w:rPr>
      </w:pPr>
      <w:r>
        <w:rPr>
          <w:szCs w:val="21"/>
          <w:highlight w:val="none"/>
        </w:rPr>
        <w:t>凡是注日期的文件，其随后所有的修改单（不包括勘误的内容）或修订版不适用于本细则。凡是不注日期的文件，其最新版本适用于本细则。</w:t>
      </w:r>
    </w:p>
    <w:p w14:paraId="03A94212">
      <w:pPr>
        <w:spacing w:line="360" w:lineRule="auto"/>
        <w:rPr>
          <w:rFonts w:hint="eastAsia" w:eastAsia="黑体"/>
          <w:szCs w:val="21"/>
          <w:highlight w:val="none"/>
        </w:rPr>
      </w:pPr>
      <w:bookmarkStart w:id="0" w:name="_GoBack"/>
      <w:bookmarkEnd w:id="0"/>
    </w:p>
    <w:p w14:paraId="5EA36442">
      <w:pPr>
        <w:spacing w:line="360" w:lineRule="auto"/>
        <w:rPr>
          <w:rFonts w:eastAsia="黑体"/>
          <w:szCs w:val="21"/>
          <w:highlight w:val="none"/>
        </w:rPr>
      </w:pPr>
      <w:r>
        <w:rPr>
          <w:rFonts w:eastAsia="黑体"/>
          <w:szCs w:val="21"/>
          <w:highlight w:val="none"/>
        </w:rPr>
        <w:t>3 判定规则</w:t>
      </w:r>
    </w:p>
    <w:p w14:paraId="23A36062">
      <w:pPr>
        <w:snapToGrid w:val="0"/>
        <w:spacing w:line="440" w:lineRule="exact"/>
        <w:rPr>
          <w:szCs w:val="21"/>
          <w:highlight w:val="none"/>
        </w:rPr>
      </w:pPr>
      <w:r>
        <w:rPr>
          <w:szCs w:val="21"/>
          <w:highlight w:val="none"/>
        </w:rPr>
        <w:t>3.1依据标准</w:t>
      </w:r>
    </w:p>
    <w:p w14:paraId="5F12F8FB">
      <w:pPr>
        <w:spacing w:line="360" w:lineRule="auto"/>
        <w:ind w:firstLine="420" w:firstLineChars="200"/>
        <w:rPr>
          <w:rFonts w:hint="eastAsia" w:eastAsia="宋体"/>
          <w:szCs w:val="21"/>
          <w:highlight w:val="none"/>
          <w:lang w:eastAsia="zh-CN"/>
        </w:rPr>
      </w:pPr>
      <w:r>
        <w:rPr>
          <w:rFonts w:hint="eastAsia"/>
          <w:szCs w:val="21"/>
          <w:highlight w:val="none"/>
          <w:lang w:eastAsia="zh-CN"/>
        </w:rPr>
        <w:t>GB 17945-2024《</w:t>
      </w:r>
      <w:r>
        <w:rPr>
          <w:szCs w:val="21"/>
          <w:highlight w:val="none"/>
        </w:rPr>
        <w:t>消防应急照明和疏散指示系统</w:t>
      </w:r>
      <w:r>
        <w:rPr>
          <w:rFonts w:hint="eastAsia"/>
          <w:szCs w:val="21"/>
          <w:highlight w:val="none"/>
          <w:lang w:eastAsia="zh-CN"/>
        </w:rPr>
        <w:t>》</w:t>
      </w:r>
    </w:p>
    <w:p w14:paraId="28CF3F69">
      <w:pPr>
        <w:snapToGrid w:val="0"/>
        <w:spacing w:line="440" w:lineRule="exact"/>
        <w:ind w:firstLine="420" w:firstLineChars="200"/>
        <w:rPr>
          <w:szCs w:val="21"/>
        </w:rPr>
      </w:pPr>
      <w:r>
        <w:rPr>
          <w:szCs w:val="21"/>
        </w:rPr>
        <w:t>现行有效的企业标准、团体标准、地方标准及产品明示质量要求</w:t>
      </w:r>
    </w:p>
    <w:p w14:paraId="71A36EB3">
      <w:pPr>
        <w:snapToGrid w:val="0"/>
        <w:spacing w:line="440" w:lineRule="exact"/>
        <w:rPr>
          <w:szCs w:val="21"/>
        </w:rPr>
      </w:pPr>
      <w:r>
        <w:rPr>
          <w:szCs w:val="21"/>
        </w:rPr>
        <w:t>3.2判定原则</w:t>
      </w:r>
    </w:p>
    <w:p w14:paraId="44DC8DC9">
      <w:pPr>
        <w:snapToGrid w:val="0"/>
        <w:spacing w:line="440" w:lineRule="exact"/>
        <w:ind w:firstLine="420" w:firstLineChars="200"/>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14:paraId="446F3E9B">
      <w:pPr>
        <w:snapToGrid w:val="0"/>
        <w:spacing w:line="440" w:lineRule="exact"/>
        <w:ind w:firstLine="420" w:firstLineChars="200"/>
        <w:rPr>
          <w:rFonts w:hint="eastAsia"/>
          <w:szCs w:val="21"/>
        </w:rPr>
      </w:pPr>
      <w:r>
        <w:rPr>
          <w:rFonts w:hint="eastAsia"/>
          <w:szCs w:val="21"/>
        </w:rPr>
        <w:t>若被检产品明示的质量要求高于本细则中检验项目依据的标准要求时，应按被检产品明示的质量要求判定。</w:t>
      </w:r>
    </w:p>
    <w:p w14:paraId="247EB5C8">
      <w:pPr>
        <w:snapToGrid w:val="0"/>
        <w:spacing w:line="440" w:lineRule="exact"/>
        <w:ind w:firstLine="420" w:firstLineChars="200"/>
        <w:rPr>
          <w:rFonts w:hint="eastAsia"/>
          <w:szCs w:val="21"/>
        </w:rPr>
      </w:pPr>
      <w:r>
        <w:rPr>
          <w:rFonts w:hint="eastAsia"/>
          <w:szCs w:val="21"/>
        </w:rPr>
        <w:t>若被检产品明示的质量要求低于本细则中检验项目依据的强制性标准要求时，应按照强制性标准要求判定。</w:t>
      </w:r>
    </w:p>
    <w:p w14:paraId="70E31023">
      <w:pPr>
        <w:snapToGrid w:val="0"/>
        <w:spacing w:line="440" w:lineRule="exact"/>
        <w:ind w:firstLine="420" w:firstLineChars="200"/>
        <w:rPr>
          <w:rFonts w:hint="eastAsia"/>
          <w:szCs w:val="21"/>
        </w:rPr>
      </w:pPr>
      <w:r>
        <w:rPr>
          <w:rFonts w:hint="eastAsia"/>
          <w:szCs w:val="21"/>
        </w:rPr>
        <w:t>若被检产品明示的质量要求低于或包含本细则中检验项目依据的推荐性标准要求时，应以被检产品明示的质量要求判定。</w:t>
      </w:r>
    </w:p>
    <w:p w14:paraId="6DBC7D87">
      <w:pPr>
        <w:snapToGrid w:val="0"/>
        <w:spacing w:line="440" w:lineRule="exact"/>
        <w:ind w:firstLine="420" w:firstLineChars="200"/>
        <w:rPr>
          <w:rFonts w:hint="eastAsia"/>
          <w:szCs w:val="21"/>
        </w:rPr>
      </w:pPr>
      <w:r>
        <w:rPr>
          <w:rFonts w:hint="eastAsia"/>
          <w:szCs w:val="21"/>
        </w:rPr>
        <w:t>若被检产品明示的质量要求缺少本细则中检验项目依据的强制性标准要求时，应按照强制性标准要求判定。</w:t>
      </w:r>
    </w:p>
    <w:p w14:paraId="788147BD">
      <w:pPr>
        <w:snapToGrid w:val="0"/>
        <w:spacing w:line="440" w:lineRule="exact"/>
        <w:ind w:firstLine="420" w:firstLineChars="200"/>
        <w:rPr>
          <w:szCs w:val="21"/>
        </w:rPr>
      </w:pPr>
      <w:r>
        <w:rPr>
          <w:rFonts w:hint="eastAsia"/>
          <w:szCs w:val="21"/>
        </w:rPr>
        <w:t>若被检产品明示的质量要求缺少本细则中检验项目依据的推荐性标准要求时，该项目不参与判定。</w:t>
      </w:r>
    </w:p>
    <w:sectPr>
      <w:footerReference r:id="rId3" w:type="default"/>
      <w:footerReference r:id="rId4" w:type="even"/>
      <w:pgSz w:w="11906" w:h="16838"/>
      <w:pgMar w:top="850" w:right="1134" w:bottom="850"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32128">
    <w:pPr>
      <w:pStyle w:val="9"/>
      <w:framePr w:wrap="around" w:vAnchor="text" w:hAnchor="margin" w:xAlign="center" w:y="1"/>
      <w:rPr>
        <w:rStyle w:val="13"/>
      </w:rPr>
    </w:pPr>
    <w:r>
      <w:fldChar w:fldCharType="begin"/>
    </w:r>
    <w:r>
      <w:rPr>
        <w:rStyle w:val="13"/>
      </w:rPr>
      <w:instrText xml:space="preserve">PAGE  </w:instrText>
    </w:r>
    <w:r>
      <w:fldChar w:fldCharType="separate"/>
    </w:r>
    <w:r>
      <w:rPr>
        <w:rStyle w:val="13"/>
        <w:lang/>
      </w:rPr>
      <w:t>1</w:t>
    </w:r>
    <w:r>
      <w:fldChar w:fldCharType="end"/>
    </w:r>
  </w:p>
  <w:p w14:paraId="27EC97B8">
    <w:pPr>
      <w:pStyle w:val="9"/>
      <w:ind w:right="360"/>
      <w:jc w:val="right"/>
      <w:rPr>
        <w:rFonts w:ascii="宋体" w:hAnsi="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9ECE">
    <w:pPr>
      <w:pStyle w:val="9"/>
      <w:framePr w:wrap="around" w:vAnchor="text" w:hAnchor="margin" w:xAlign="center" w:y="1"/>
      <w:rPr>
        <w:rStyle w:val="13"/>
      </w:rPr>
    </w:pPr>
    <w:r>
      <w:fldChar w:fldCharType="begin"/>
    </w:r>
    <w:r>
      <w:rPr>
        <w:rStyle w:val="13"/>
      </w:rPr>
      <w:instrText xml:space="preserve">PAGE  </w:instrText>
    </w:r>
    <w:r>
      <w:fldChar w:fldCharType="separate"/>
    </w:r>
    <w:r>
      <w:fldChar w:fldCharType="end"/>
    </w:r>
  </w:p>
  <w:p w14:paraId="7DB312B0">
    <w:pPr>
      <w:pStyle w:val="9"/>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3EAF"/>
    <w:rsid w:val="000A4B75"/>
    <w:rsid w:val="000A7BC9"/>
    <w:rsid w:val="001F42DB"/>
    <w:rsid w:val="00211CC5"/>
    <w:rsid w:val="00236B78"/>
    <w:rsid w:val="002A131C"/>
    <w:rsid w:val="002C10F6"/>
    <w:rsid w:val="002D2F66"/>
    <w:rsid w:val="003C46A8"/>
    <w:rsid w:val="005563A8"/>
    <w:rsid w:val="005804C9"/>
    <w:rsid w:val="0060659E"/>
    <w:rsid w:val="00607493"/>
    <w:rsid w:val="00675D04"/>
    <w:rsid w:val="008525A7"/>
    <w:rsid w:val="008C4270"/>
    <w:rsid w:val="00AF1A05"/>
    <w:rsid w:val="00BE06B7"/>
    <w:rsid w:val="00BF1EF8"/>
    <w:rsid w:val="00C43B21"/>
    <w:rsid w:val="00C63BC3"/>
    <w:rsid w:val="00C921A1"/>
    <w:rsid w:val="00D63A6E"/>
    <w:rsid w:val="00DB6E79"/>
    <w:rsid w:val="00DE39AA"/>
    <w:rsid w:val="00E03FD5"/>
    <w:rsid w:val="00EE73A6"/>
    <w:rsid w:val="00EF1B16"/>
    <w:rsid w:val="00F26CF8"/>
    <w:rsid w:val="00FC094A"/>
    <w:rsid w:val="01B06B04"/>
    <w:rsid w:val="01C84FA4"/>
    <w:rsid w:val="02121D1E"/>
    <w:rsid w:val="041127D7"/>
    <w:rsid w:val="043A0AF3"/>
    <w:rsid w:val="05D61E20"/>
    <w:rsid w:val="065C32EA"/>
    <w:rsid w:val="06C56C1D"/>
    <w:rsid w:val="070103DE"/>
    <w:rsid w:val="092E2E2D"/>
    <w:rsid w:val="09CC5E46"/>
    <w:rsid w:val="0A6807C4"/>
    <w:rsid w:val="0B6C6320"/>
    <w:rsid w:val="0B7856DB"/>
    <w:rsid w:val="0BC33C6D"/>
    <w:rsid w:val="0CA74F22"/>
    <w:rsid w:val="0D0352F2"/>
    <w:rsid w:val="0D5A3E7C"/>
    <w:rsid w:val="0F5B69E8"/>
    <w:rsid w:val="0F8536D5"/>
    <w:rsid w:val="10882D23"/>
    <w:rsid w:val="13B31ED5"/>
    <w:rsid w:val="164C41B2"/>
    <w:rsid w:val="168E6A91"/>
    <w:rsid w:val="16EF55B8"/>
    <w:rsid w:val="17167880"/>
    <w:rsid w:val="173370A4"/>
    <w:rsid w:val="18CA6F33"/>
    <w:rsid w:val="18EE6ABF"/>
    <w:rsid w:val="18FC5CF4"/>
    <w:rsid w:val="197A1AFA"/>
    <w:rsid w:val="19D35CBC"/>
    <w:rsid w:val="19DB7966"/>
    <w:rsid w:val="1A8435EF"/>
    <w:rsid w:val="1C6B2DB3"/>
    <w:rsid w:val="1C921D35"/>
    <w:rsid w:val="1C9E198A"/>
    <w:rsid w:val="1C9E4334"/>
    <w:rsid w:val="1F1353C9"/>
    <w:rsid w:val="1F5A654C"/>
    <w:rsid w:val="1FE8261F"/>
    <w:rsid w:val="21880B2E"/>
    <w:rsid w:val="24111094"/>
    <w:rsid w:val="241F3AAF"/>
    <w:rsid w:val="25753210"/>
    <w:rsid w:val="299121C4"/>
    <w:rsid w:val="2A0462D8"/>
    <w:rsid w:val="2ABA41F8"/>
    <w:rsid w:val="2CD02503"/>
    <w:rsid w:val="2D523C61"/>
    <w:rsid w:val="2EFB26D6"/>
    <w:rsid w:val="2FE01EC2"/>
    <w:rsid w:val="30587AE3"/>
    <w:rsid w:val="30AF640E"/>
    <w:rsid w:val="30D342E9"/>
    <w:rsid w:val="31D0312D"/>
    <w:rsid w:val="32546B1D"/>
    <w:rsid w:val="327E48C2"/>
    <w:rsid w:val="33A85D49"/>
    <w:rsid w:val="34205EBB"/>
    <w:rsid w:val="347E6893"/>
    <w:rsid w:val="35D1666F"/>
    <w:rsid w:val="361E683E"/>
    <w:rsid w:val="36CB2B1F"/>
    <w:rsid w:val="39A25A10"/>
    <w:rsid w:val="3A2443AC"/>
    <w:rsid w:val="3C2E642A"/>
    <w:rsid w:val="3C365C48"/>
    <w:rsid w:val="3C833B4D"/>
    <w:rsid w:val="3DDD228C"/>
    <w:rsid w:val="3EED775D"/>
    <w:rsid w:val="3FDC132E"/>
    <w:rsid w:val="408710DA"/>
    <w:rsid w:val="41342B95"/>
    <w:rsid w:val="41573540"/>
    <w:rsid w:val="41C732D7"/>
    <w:rsid w:val="41F9375B"/>
    <w:rsid w:val="42246705"/>
    <w:rsid w:val="427C1B49"/>
    <w:rsid w:val="439E31E1"/>
    <w:rsid w:val="43D83D03"/>
    <w:rsid w:val="446063C3"/>
    <w:rsid w:val="44BF4EE7"/>
    <w:rsid w:val="4580344E"/>
    <w:rsid w:val="45E038BE"/>
    <w:rsid w:val="45F9662A"/>
    <w:rsid w:val="46046B50"/>
    <w:rsid w:val="47030F12"/>
    <w:rsid w:val="471332FE"/>
    <w:rsid w:val="48A1735A"/>
    <w:rsid w:val="48B20EFC"/>
    <w:rsid w:val="48FD3F82"/>
    <w:rsid w:val="496F2801"/>
    <w:rsid w:val="498040A0"/>
    <w:rsid w:val="4BD449D4"/>
    <w:rsid w:val="4C975F38"/>
    <w:rsid w:val="4DF96827"/>
    <w:rsid w:val="4E770591"/>
    <w:rsid w:val="4FF61CC1"/>
    <w:rsid w:val="500C1FDB"/>
    <w:rsid w:val="503157BD"/>
    <w:rsid w:val="513D49EE"/>
    <w:rsid w:val="5155624F"/>
    <w:rsid w:val="51831E59"/>
    <w:rsid w:val="51F6622E"/>
    <w:rsid w:val="52271DF7"/>
    <w:rsid w:val="52716206"/>
    <w:rsid w:val="527C0381"/>
    <w:rsid w:val="550C5058"/>
    <w:rsid w:val="55FB0B70"/>
    <w:rsid w:val="5764105B"/>
    <w:rsid w:val="58177624"/>
    <w:rsid w:val="595F57C7"/>
    <w:rsid w:val="598229B8"/>
    <w:rsid w:val="59E5662D"/>
    <w:rsid w:val="5A3979A3"/>
    <w:rsid w:val="5A6111B9"/>
    <w:rsid w:val="5A67755D"/>
    <w:rsid w:val="5AE81E9E"/>
    <w:rsid w:val="5B5F689E"/>
    <w:rsid w:val="5C1B473D"/>
    <w:rsid w:val="5E652016"/>
    <w:rsid w:val="5ED25B3F"/>
    <w:rsid w:val="5F080F43"/>
    <w:rsid w:val="620C797B"/>
    <w:rsid w:val="628359C4"/>
    <w:rsid w:val="64900483"/>
    <w:rsid w:val="654E019A"/>
    <w:rsid w:val="65750EC5"/>
    <w:rsid w:val="65881944"/>
    <w:rsid w:val="66C857D9"/>
    <w:rsid w:val="67E0314F"/>
    <w:rsid w:val="684340D2"/>
    <w:rsid w:val="69B0586E"/>
    <w:rsid w:val="69B73A2F"/>
    <w:rsid w:val="6B5C7E74"/>
    <w:rsid w:val="6B975924"/>
    <w:rsid w:val="6C43047F"/>
    <w:rsid w:val="6C550FAD"/>
    <w:rsid w:val="6CA96732"/>
    <w:rsid w:val="6CA9760E"/>
    <w:rsid w:val="6DA15524"/>
    <w:rsid w:val="6E94217B"/>
    <w:rsid w:val="6F385B0A"/>
    <w:rsid w:val="72016505"/>
    <w:rsid w:val="72F167C9"/>
    <w:rsid w:val="749C5470"/>
    <w:rsid w:val="75732AB2"/>
    <w:rsid w:val="760462F3"/>
    <w:rsid w:val="76D74D3C"/>
    <w:rsid w:val="77671B06"/>
    <w:rsid w:val="77B61644"/>
    <w:rsid w:val="77E36F0E"/>
    <w:rsid w:val="78706F05"/>
    <w:rsid w:val="79B16385"/>
    <w:rsid w:val="7B686B00"/>
    <w:rsid w:val="7B787284"/>
    <w:rsid w:val="7BA75F7D"/>
    <w:rsid w:val="7C4D04D0"/>
    <w:rsid w:val="7C661675"/>
    <w:rsid w:val="7C9624D7"/>
    <w:rsid w:val="7CFD7373"/>
    <w:rsid w:val="7E3C4A93"/>
    <w:rsid w:val="7EB76540"/>
    <w:rsid w:val="7F264B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2">
    <w:name w:val="Default Paragraph Font"/>
    <w:uiPriority w:val="0"/>
  </w:style>
  <w:style w:type="table" w:default="1" w:styleId="11">
    <w:name w:val="Normal Table"/>
    <w:unhideWhenUsed/>
    <w:uiPriority w:val="99"/>
    <w:tblPr>
      <w:tblStyle w:val="11"/>
      <w:tblCellMar>
        <w:top w:w="0" w:type="dxa"/>
        <w:left w:w="108" w:type="dxa"/>
        <w:bottom w:w="0" w:type="dxa"/>
        <w:right w:w="108" w:type="dxa"/>
      </w:tblCellMar>
    </w:tblPr>
  </w:style>
  <w:style w:type="paragraph" w:styleId="3">
    <w:name w:val="annotation text"/>
    <w:basedOn w:val="1"/>
    <w:unhideWhenUsed/>
    <w:uiPriority w:val="99"/>
    <w:pPr>
      <w:jc w:val="left"/>
    </w:pPr>
  </w:style>
  <w:style w:type="paragraph" w:styleId="4">
    <w:name w:val="Body Text Indent"/>
    <w:basedOn w:val="1"/>
    <w:uiPriority w:val="0"/>
    <w:pPr>
      <w:spacing w:line="360" w:lineRule="auto"/>
      <w:ind w:firstLine="480" w:firstLineChars="200"/>
    </w:pPr>
    <w:rPr>
      <w:rFonts w:ascii="宋体" w:hAnsi="宋体"/>
      <w:sz w:val="24"/>
      <w:szCs w:val="20"/>
    </w:rPr>
  </w:style>
  <w:style w:type="paragraph" w:styleId="5">
    <w:name w:val="Plain Text"/>
    <w:basedOn w:val="1"/>
    <w:uiPriority w:val="0"/>
    <w:pPr>
      <w:widowControl w:val="0"/>
      <w:jc w:val="both"/>
    </w:pPr>
    <w:rPr>
      <w:rFonts w:ascii="宋体" w:hAnsi="Courier New"/>
      <w:kern w:val="2"/>
      <w:sz w:val="21"/>
    </w:rPr>
  </w:style>
  <w:style w:type="paragraph" w:styleId="6">
    <w:name w:val="Date"/>
    <w:basedOn w:val="1"/>
    <w:next w:val="1"/>
    <w:uiPriority w:val="0"/>
    <w:pPr>
      <w:ind w:left="100" w:leftChars="2500"/>
    </w:pPr>
  </w:style>
  <w:style w:type="paragraph" w:styleId="7">
    <w:name w:val="Body Text Indent 2"/>
    <w:basedOn w:val="1"/>
    <w:uiPriority w:val="0"/>
    <w:pPr>
      <w:spacing w:after="120" w:afterLines="0" w:line="480" w:lineRule="auto"/>
      <w:ind w:left="420" w:leftChars="200"/>
    </w:pPr>
  </w:style>
  <w:style w:type="paragraph" w:styleId="8">
    <w:name w:val="Balloon Text"/>
    <w:basedOn w:val="1"/>
    <w:uiPriority w:val="0"/>
    <w:pPr>
      <w:widowControl w:val="0"/>
      <w:jc w:val="both"/>
    </w:pPr>
    <w:rPr>
      <w:kern w:val="2"/>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13">
    <w:name w:val="page number"/>
    <w:basedOn w:val="12"/>
    <w:uiPriority w:val="0"/>
  </w:style>
  <w:style w:type="character" w:styleId="14">
    <w:name w:val="Hyperlink"/>
    <w:uiPriority w:val="0"/>
    <w:rPr>
      <w:color w:val="0000FF"/>
      <w:u w:val="single"/>
    </w:rPr>
  </w:style>
  <w:style w:type="paragraph" w:styleId="15">
    <w:name w:val="No Spacing"/>
    <w:qFormat/>
    <w:uiPriority w:val="1"/>
    <w:pPr>
      <w:widowControl w:val="0"/>
      <w:jc w:val="both"/>
    </w:pPr>
    <w:rPr>
      <w:kern w:val="2"/>
      <w:sz w:val="21"/>
      <w:szCs w:val="24"/>
      <w:lang w:val="en-US" w:eastAsia="zh-CN" w:bidi="ar-SA"/>
    </w:rPr>
  </w:style>
  <w:style w:type="paragraph" w:customStyle="1" w:styleId="16">
    <w:name w:val=" Char"/>
    <w:basedOn w:val="1"/>
    <w:uiPriority w:val="0"/>
    <w:pPr>
      <w:widowControl/>
      <w:spacing w:after="160" w:afterLines="0" w:line="240" w:lineRule="exact"/>
      <w:jc w:val="left"/>
    </w:pPr>
    <w:rPr>
      <w:rFonts w:ascii="Verdana" w:hAnsi="Verdana"/>
      <w:kern w:val="0"/>
      <w:sz w:val="18"/>
      <w:szCs w:val="20"/>
      <w:lang w:eastAsia="en-US"/>
    </w:rPr>
  </w:style>
  <w:style w:type="paragraph" w:customStyle="1" w:styleId="17">
    <w:name w:val="标准称谓"/>
    <w:next w:val="1"/>
    <w:uiPriority w:val="0"/>
    <w:pPr>
      <w:widowControl w:val="0"/>
      <w:kinsoku w:val="0"/>
      <w:overflowPunct w:val="0"/>
      <w:autoSpaceDE w:val="0"/>
      <w:autoSpaceDN w:val="0"/>
      <w:spacing w:line="0" w:lineRule="atLeast"/>
      <w:jc w:val="distribute"/>
    </w:pPr>
    <w:rPr>
      <w:rFonts w:ascii="宋体"/>
      <w:b/>
      <w:bCs/>
      <w:spacing w:val="20"/>
      <w:w w:val="148"/>
      <w:sz w:val="52"/>
      <w:lang w:val="en-US" w:eastAsia="zh-CN" w:bidi="ar-SA"/>
    </w:rPr>
  </w:style>
  <w:style w:type="paragraph" w:customStyle="1" w:styleId="18">
    <w:name w:val="段"/>
    <w:qFormat/>
    <w:uiPriority w:val="0"/>
    <w:pPr>
      <w:tabs>
        <w:tab w:val="center" w:pos="4201"/>
        <w:tab w:val="right" w:leader="dot" w:pos="9298"/>
      </w:tabs>
      <w:autoSpaceDE w:val="0"/>
      <w:autoSpaceDN w:val="0"/>
      <w:ind w:firstLine="420" w:firstLineChars="200"/>
      <w:jc w:val="both"/>
    </w:pPr>
    <w:rPr>
      <w:rFonts w:ascii="宋体" w:hAnsi="Calibr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713</Words>
  <Characters>938</Characters>
  <Lines>43</Lines>
  <Paragraphs>12</Paragraphs>
  <TotalTime>2</TotalTime>
  <ScaleCrop>false</ScaleCrop>
  <LinksUpToDate>false</LinksUpToDate>
  <CharactersWithSpaces>964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2021-01-25T02:31:00Z</dcterms:created>
  <dc:creator>gaojianzhong</dc:creator>
  <cp:lastModifiedBy>WPS_1628745793</cp:lastModifiedBy>
  <cp:lastPrinted>2010-07-13T03:06:00Z</cp:lastPrinted>
  <dcterms:modified xsi:type="dcterms:W3CDTF">2026-08-14T02:27:14Z</dcterms:modified>
  <dc:title>JDXZ  XXX—XXXX</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DA277BB6C14149748817785D84507515_13</vt:lpwstr>
  </property>
  <property fmtid="{D5CDD505-2E9C-101B-9397-08002B2CF9AE}" pid="4" name="KSOTemplateDocerSaveRecord">
    <vt:lpwstr>eyJoZGlkIjoiY2FkYzM2MGFlY2Q1YTViYjQ5Y2FkNzljMmU0MTVmZjMiLCJ1c2VySWQiOiIxMjQxNzEwNDE5In0=</vt:lpwstr>
  </property>
</Properties>
</file>